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205" w:rsidRPr="00435205" w:rsidRDefault="00435205" w:rsidP="00435205">
      <w:pPr>
        <w:spacing w:after="150" w:line="312" w:lineRule="atLeast"/>
        <w:outlineLvl w:val="0"/>
        <w:rPr>
          <w:rFonts w:ascii="Titillium Web" w:eastAsia="Times New Roman" w:hAnsi="Titillium Web" w:cs="Times New Roman"/>
          <w:b/>
          <w:bCs/>
          <w:color w:val="40454D"/>
          <w:kern w:val="36"/>
          <w:sz w:val="28"/>
          <w:szCs w:val="28"/>
          <w:lang w:eastAsia="tr-TR"/>
        </w:rPr>
      </w:pPr>
      <w:r w:rsidRPr="00435205">
        <w:rPr>
          <w:rFonts w:ascii="Titillium Web" w:eastAsia="Times New Roman" w:hAnsi="Titillium Web" w:cs="Times New Roman"/>
          <w:b/>
          <w:bCs/>
          <w:color w:val="40454D"/>
          <w:kern w:val="36"/>
          <w:sz w:val="28"/>
          <w:szCs w:val="28"/>
          <w:lang w:eastAsia="tr-TR"/>
        </w:rPr>
        <w:t xml:space="preserve">Kooperatif ve Üst Kuruluşlarının Olağan Genel Kurul Toplantılarının </w:t>
      </w:r>
      <w:bookmarkStart w:id="0" w:name="_GoBack"/>
      <w:bookmarkEnd w:id="0"/>
      <w:r w:rsidRPr="00435205">
        <w:rPr>
          <w:rFonts w:ascii="Titillium Web" w:eastAsia="Times New Roman" w:hAnsi="Titillium Web" w:cs="Times New Roman"/>
          <w:b/>
          <w:bCs/>
          <w:color w:val="40454D"/>
          <w:kern w:val="36"/>
          <w:sz w:val="28"/>
          <w:szCs w:val="28"/>
          <w:lang w:eastAsia="tr-TR"/>
        </w:rPr>
        <w:t>Birleştirilerek Yapılması Hakkında Tebliğ</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Kooperatif Genel Kurul Toplantılarının Birleştirilmesi</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color w:val="6D6D6D"/>
          <w:sz w:val="28"/>
          <w:szCs w:val="28"/>
          <w:lang w:eastAsia="tr-TR"/>
        </w:rPr>
        <w:t>31 Ekim 2017 Tarihli Resmi Gazete</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color w:val="6D6D6D"/>
          <w:sz w:val="28"/>
          <w:szCs w:val="28"/>
          <w:lang w:eastAsia="tr-TR"/>
        </w:rPr>
        <w:t>Sayı: 30226</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color w:val="6D6D6D"/>
          <w:sz w:val="28"/>
          <w:szCs w:val="28"/>
          <w:lang w:eastAsia="tr-TR"/>
        </w:rPr>
        <w:t>Gümrük ve Ticaret Bakanlığı, Çevre ve Şehircilik Bakanlığı ve Gıda, Tarım ve Hayvancılık Bakanlığından:</w:t>
      </w:r>
    </w:p>
    <w:p w:rsidR="00435205" w:rsidRPr="00435205" w:rsidRDefault="00435205" w:rsidP="00435205">
      <w:pPr>
        <w:spacing w:after="300" w:line="240" w:lineRule="auto"/>
        <w:jc w:val="center"/>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BİRİNCİ BÖLÜM</w:t>
      </w:r>
    </w:p>
    <w:p w:rsidR="00435205" w:rsidRPr="00435205" w:rsidRDefault="00435205" w:rsidP="00435205">
      <w:pPr>
        <w:spacing w:after="300" w:line="240" w:lineRule="auto"/>
        <w:jc w:val="center"/>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Amaç, Kapsam, Dayanak ve Tanımlar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Amaç ve kapsam</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MADDE 1 –</w:t>
      </w:r>
      <w:r w:rsidRPr="00435205">
        <w:rPr>
          <w:rFonts w:ascii="Titillium Web" w:eastAsia="Times New Roman" w:hAnsi="Titillium Web" w:cs="Times New Roman"/>
          <w:color w:val="6D6D6D"/>
          <w:sz w:val="28"/>
          <w:szCs w:val="28"/>
          <w:lang w:eastAsia="tr-TR"/>
        </w:rPr>
        <w:t> (1) Bu Tebliğin amacı, kooperatif ve üst kuruluşlarınca, olağan genel kurul toplantılarının en fazla üç hesap dönemini kapsayacak şekilde birleştirilerek yapılmasına ilişkin usul ve esasları düzenlemektir.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Dayanak</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MADDE 2 –</w:t>
      </w:r>
      <w:r w:rsidRPr="00435205">
        <w:rPr>
          <w:rFonts w:ascii="Titillium Web" w:eastAsia="Times New Roman" w:hAnsi="Titillium Web" w:cs="Times New Roman"/>
          <w:color w:val="6D6D6D"/>
          <w:sz w:val="28"/>
          <w:szCs w:val="28"/>
          <w:lang w:eastAsia="tr-TR"/>
        </w:rPr>
        <w:t xml:space="preserve"> (1) Bu Tebliğ, </w:t>
      </w:r>
      <w:proofErr w:type="gramStart"/>
      <w:r w:rsidRPr="00435205">
        <w:rPr>
          <w:rFonts w:ascii="Titillium Web" w:eastAsia="Times New Roman" w:hAnsi="Titillium Web" w:cs="Times New Roman"/>
          <w:color w:val="6D6D6D"/>
          <w:sz w:val="28"/>
          <w:szCs w:val="28"/>
          <w:lang w:eastAsia="tr-TR"/>
        </w:rPr>
        <w:t>24/4/1969</w:t>
      </w:r>
      <w:proofErr w:type="gramEnd"/>
      <w:r w:rsidRPr="00435205">
        <w:rPr>
          <w:rFonts w:ascii="Titillium Web" w:eastAsia="Times New Roman" w:hAnsi="Titillium Web" w:cs="Times New Roman"/>
          <w:color w:val="6D6D6D"/>
          <w:sz w:val="28"/>
          <w:szCs w:val="28"/>
          <w:lang w:eastAsia="tr-TR"/>
        </w:rPr>
        <w:t xml:space="preserve"> tarihli ve </w:t>
      </w:r>
      <w:hyperlink r:id="rId5" w:history="1">
        <w:r w:rsidRPr="00435205">
          <w:rPr>
            <w:rFonts w:ascii="Titillium Web" w:eastAsia="Times New Roman" w:hAnsi="Titillium Web" w:cs="Times New Roman"/>
            <w:b/>
            <w:bCs/>
            <w:color w:val="1E73BE"/>
            <w:sz w:val="28"/>
            <w:szCs w:val="28"/>
            <w:lang w:eastAsia="tr-TR"/>
          </w:rPr>
          <w:t>1163 sayılı Kooperatifler Kanununun</w:t>
        </w:r>
      </w:hyperlink>
      <w:r w:rsidRPr="00435205">
        <w:rPr>
          <w:rFonts w:ascii="Titillium Web" w:eastAsia="Times New Roman" w:hAnsi="Titillium Web" w:cs="Times New Roman"/>
          <w:color w:val="6D6D6D"/>
          <w:sz w:val="28"/>
          <w:szCs w:val="28"/>
          <w:lang w:eastAsia="tr-TR"/>
        </w:rPr>
        <w:t> 45 inci maddesinin birinci fıkrasına dayanılarak hazırlanmıştır.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Tanımlar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MADDE 3 –</w:t>
      </w:r>
      <w:r w:rsidRPr="00435205">
        <w:rPr>
          <w:rFonts w:ascii="Titillium Web" w:eastAsia="Times New Roman" w:hAnsi="Titillium Web" w:cs="Times New Roman"/>
          <w:color w:val="6D6D6D"/>
          <w:sz w:val="28"/>
          <w:szCs w:val="28"/>
          <w:lang w:eastAsia="tr-TR"/>
        </w:rPr>
        <w:t> (1) Bu Tebliğde geçen;</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color w:val="6D6D6D"/>
          <w:sz w:val="28"/>
          <w:szCs w:val="28"/>
          <w:lang w:eastAsia="tr-TR"/>
        </w:rPr>
        <w:t>a) Birleşik genel kurul: İki veya üç hesap dönemini kapsayacak şekilde ve birleştirilerek yapılan olağan genel kurul toplantısını,</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color w:val="6D6D6D"/>
          <w:sz w:val="28"/>
          <w:szCs w:val="28"/>
          <w:lang w:eastAsia="tr-TR"/>
        </w:rPr>
        <w:t>b) İl müdürlüğü: Tarımsal amaçlı kooperatifler ve üst kuruluşları için Gıda, Tarım ve Hayvancılık Bakanlığının, yapı kooperatifleri ve üst kuruluşları için Çevre ve Şehircilik Bakanlığının ve diğer kooperatifler ve üst kuruluşlar için ise Gümrük ve Ticaret Bakanlığının İl Müdürlüğünü,</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color w:val="6D6D6D"/>
          <w:sz w:val="28"/>
          <w:szCs w:val="28"/>
          <w:lang w:eastAsia="tr-TR"/>
        </w:rPr>
        <w:t>c) Kooperatif: Kooperatifleri ve bunların üst kuruluşlarını,</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color w:val="6D6D6D"/>
          <w:sz w:val="28"/>
          <w:szCs w:val="28"/>
          <w:lang w:eastAsia="tr-TR"/>
        </w:rPr>
        <w:t>ç) Olağan genel kurul toplantısı: 1163 sayılı Kooperatifler Kanununun 45 inci maddesinin birinci fıkrası hükmü doğrultusunda kooperatiflerin en az yılda bir defa yapmaları gereken genel kurul toplantısını,</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color w:val="6D6D6D"/>
          <w:sz w:val="28"/>
          <w:szCs w:val="28"/>
          <w:lang w:eastAsia="tr-TR"/>
        </w:rPr>
        <w:lastRenderedPageBreak/>
        <w:t>d) Olağanüstü genel kurul toplantısı: Olağan toplantı haricinde yapılan genel kurul toplantısını,</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color w:val="6D6D6D"/>
          <w:sz w:val="28"/>
          <w:szCs w:val="28"/>
          <w:lang w:eastAsia="tr-TR"/>
        </w:rPr>
        <w:t>e) Raporlar: Bilanço, gelir-gider cetveli, tahmini bütçe, yönetim kurulu faaliyet ve denetçi raporlarını,</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color w:val="6D6D6D"/>
          <w:sz w:val="28"/>
          <w:szCs w:val="28"/>
          <w:lang w:eastAsia="tr-TR"/>
        </w:rPr>
        <w:t>f) Üst kuruluş: Kooperatiflerin bir araya gelerek kurdukları kooperatif birliği, kooperatif merkez birliği ve Türkiye Milli Kooperatifler Birliğini,</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proofErr w:type="gramStart"/>
      <w:r w:rsidRPr="00435205">
        <w:rPr>
          <w:rFonts w:ascii="Titillium Web" w:eastAsia="Times New Roman" w:hAnsi="Titillium Web" w:cs="Times New Roman"/>
          <w:color w:val="6D6D6D"/>
          <w:sz w:val="28"/>
          <w:szCs w:val="28"/>
          <w:lang w:eastAsia="tr-TR"/>
        </w:rPr>
        <w:t>ifade</w:t>
      </w:r>
      <w:proofErr w:type="gramEnd"/>
      <w:r w:rsidRPr="00435205">
        <w:rPr>
          <w:rFonts w:ascii="Titillium Web" w:eastAsia="Times New Roman" w:hAnsi="Titillium Web" w:cs="Times New Roman"/>
          <w:color w:val="6D6D6D"/>
          <w:sz w:val="28"/>
          <w:szCs w:val="28"/>
          <w:lang w:eastAsia="tr-TR"/>
        </w:rPr>
        <w:t xml:space="preserve"> eder.</w:t>
      </w:r>
    </w:p>
    <w:p w:rsidR="00435205" w:rsidRPr="00435205" w:rsidRDefault="00435205" w:rsidP="00435205">
      <w:pPr>
        <w:spacing w:after="300" w:line="240" w:lineRule="auto"/>
        <w:jc w:val="center"/>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İKİNCİ BÖLÜM</w:t>
      </w:r>
    </w:p>
    <w:p w:rsidR="00435205" w:rsidRPr="00435205" w:rsidRDefault="00435205" w:rsidP="00435205">
      <w:pPr>
        <w:spacing w:after="300" w:line="240" w:lineRule="auto"/>
        <w:jc w:val="center"/>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Olağan Genel Kurul Toplantılarının Birleştirilmesi</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Olağan genel kurul toplantı zamanı</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MADDE 4 –</w:t>
      </w:r>
      <w:r w:rsidRPr="00435205">
        <w:rPr>
          <w:rFonts w:ascii="Titillium Web" w:eastAsia="Times New Roman" w:hAnsi="Titillium Web" w:cs="Times New Roman"/>
          <w:color w:val="6D6D6D"/>
          <w:sz w:val="28"/>
          <w:szCs w:val="28"/>
          <w:lang w:eastAsia="tr-TR"/>
        </w:rPr>
        <w:t> (1) Genel kurul olağan ve gerektiğinde olağanüstü olarak toplanır. Olağan toplantının her hesap devresi sonundan itibaren 6 ay içinde ve en az yılda bir defa yapılması zorunludur.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color w:val="6D6D6D"/>
          <w:sz w:val="28"/>
          <w:szCs w:val="28"/>
          <w:lang w:eastAsia="tr-TR"/>
        </w:rPr>
        <w:t>(2) Üst kuruluşa ortak olan kooperatifler; çağrıda yer alan olağan genel kurul toplantılarının birleştirilerek yapılmasına dair gündem maddesini, genel kurul toplantısında görüşerek kabul etmeleri şartıyla, olağan genel kurul toplantılarını iki veya üç hesap dönemini kapsayacak şekilde erteleyip birleştirmek suretiyle yapabilir.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color w:val="6D6D6D"/>
          <w:sz w:val="28"/>
          <w:szCs w:val="28"/>
          <w:lang w:eastAsia="tr-TR"/>
        </w:rPr>
        <w:t>(3) Birleştirme süresi yönetim kurulu ve denetçilerin geriye kalan görev süresini geçemez.</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color w:val="6D6D6D"/>
          <w:sz w:val="28"/>
          <w:szCs w:val="28"/>
          <w:lang w:eastAsia="tr-TR"/>
        </w:rPr>
        <w:t>(4) Birleşik genel kurul yapılmasına dair uygulama; süre bitiminde aynı usulle karar alınması halinde tekrarlanabilir.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color w:val="6D6D6D"/>
          <w:sz w:val="28"/>
          <w:szCs w:val="28"/>
          <w:lang w:eastAsia="tr-TR"/>
        </w:rPr>
        <w:t>(5) Birleşik genel kurul yapılmasına dair gündem maddesinin reddedilmesi halinde; bu konu sonraki genel kurul toplantısında yeniden görüşülebilir.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Çağrı ve ortaklar listesi</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MADDE 5 –</w:t>
      </w:r>
      <w:r w:rsidRPr="00435205">
        <w:rPr>
          <w:rFonts w:ascii="Titillium Web" w:eastAsia="Times New Roman" w:hAnsi="Titillium Web" w:cs="Times New Roman"/>
          <w:color w:val="6D6D6D"/>
          <w:sz w:val="28"/>
          <w:szCs w:val="28"/>
          <w:lang w:eastAsia="tr-TR"/>
        </w:rPr>
        <w:t> (1) Birleşik genel kurulda çağrı ve ortaklar listesi mevcut ortaklara göre yapılır.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Raporlar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lastRenderedPageBreak/>
        <w:t>MADDE 6 –</w:t>
      </w:r>
      <w:r w:rsidRPr="00435205">
        <w:rPr>
          <w:rFonts w:ascii="Titillium Web" w:eastAsia="Times New Roman" w:hAnsi="Titillium Web" w:cs="Times New Roman"/>
          <w:color w:val="6D6D6D"/>
          <w:sz w:val="28"/>
          <w:szCs w:val="28"/>
          <w:lang w:eastAsia="tr-TR"/>
        </w:rPr>
        <w:t> (1) Olağan genel kurul toplantılarını birleştirme kararı alan kooperatiflerin, rapor örneklerini her bir hesap devresi sonundan itibaren 6 ay içinde il müdürlüğüne ve kooperatifin ortağı olduğu üst kuruluşa vermeleri zorunludur.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color w:val="6D6D6D"/>
          <w:sz w:val="28"/>
          <w:szCs w:val="28"/>
          <w:lang w:eastAsia="tr-TR"/>
        </w:rPr>
        <w:t>(2) Gelecek hesap dönemlerine ilişkin tahmini bütçelerin birleştirme süresini kapsayacak şekilde her yıl için hazırlanarak, birleştirme kararının görüşüleceği genel kurul toplantısında karara bağlanması şarttır.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color w:val="6D6D6D"/>
          <w:sz w:val="28"/>
          <w:szCs w:val="28"/>
          <w:lang w:eastAsia="tr-TR"/>
        </w:rPr>
        <w:t xml:space="preserve">(3) </w:t>
      </w:r>
      <w:proofErr w:type="spellStart"/>
      <w:r w:rsidRPr="00435205">
        <w:rPr>
          <w:rFonts w:ascii="Titillium Web" w:eastAsia="Times New Roman" w:hAnsi="Titillium Web" w:cs="Times New Roman"/>
          <w:color w:val="6D6D6D"/>
          <w:sz w:val="28"/>
          <w:szCs w:val="28"/>
          <w:lang w:eastAsia="tr-TR"/>
        </w:rPr>
        <w:t>Anasözleşmelerinde</w:t>
      </w:r>
      <w:proofErr w:type="spellEnd"/>
      <w:r w:rsidRPr="00435205">
        <w:rPr>
          <w:rFonts w:ascii="Titillium Web" w:eastAsia="Times New Roman" w:hAnsi="Titillium Web" w:cs="Times New Roman"/>
          <w:color w:val="6D6D6D"/>
          <w:sz w:val="28"/>
          <w:szCs w:val="28"/>
          <w:lang w:eastAsia="tr-TR"/>
        </w:rPr>
        <w:t xml:space="preserve"> gelir-gider farkının dağıtılacağına yönelik hüküm bulunan kooperatifler, birleştirme kararı alınacak genel kurul toplantısında, birleştirme süresince gelir-gider dağıtımına ilişkin yapılacak uygulama hakkında da karar alır.</w:t>
      </w:r>
    </w:p>
    <w:p w:rsidR="00435205" w:rsidRPr="00435205" w:rsidRDefault="00435205" w:rsidP="00435205">
      <w:pPr>
        <w:spacing w:after="300" w:line="240" w:lineRule="auto"/>
        <w:jc w:val="center"/>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ÜÇÜNCÜ BÖLÜM</w:t>
      </w:r>
    </w:p>
    <w:p w:rsidR="00435205" w:rsidRPr="00435205" w:rsidRDefault="00435205" w:rsidP="00435205">
      <w:pPr>
        <w:spacing w:after="300" w:line="240" w:lineRule="auto"/>
        <w:jc w:val="center"/>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Hesaplaşma ve İbra</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Ortaklığı sona erenlerle hesaplaşma</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MADDE 7 – </w:t>
      </w:r>
      <w:r w:rsidRPr="00435205">
        <w:rPr>
          <w:rFonts w:ascii="Titillium Web" w:eastAsia="Times New Roman" w:hAnsi="Titillium Web" w:cs="Times New Roman"/>
          <w:color w:val="6D6D6D"/>
          <w:sz w:val="28"/>
          <w:szCs w:val="28"/>
          <w:lang w:eastAsia="tr-TR"/>
        </w:rPr>
        <w:t xml:space="preserve">(1) Olağan genel kurul toplantılarının birleştirilmesi sonrası devir dışında bir sebeple ortaklığı sona erenlerin, sermaye ve diğer alacakları, bilançonun genel kurulca onaylanması beklenmeksizin ayrıldığı yıl bilançosuna göre hesaplanır. Hesaplanan bu tutar 1163 sayılı Kooperatifler Kanununun 17 </w:t>
      </w:r>
      <w:proofErr w:type="spellStart"/>
      <w:r w:rsidRPr="00435205">
        <w:rPr>
          <w:rFonts w:ascii="Titillium Web" w:eastAsia="Times New Roman" w:hAnsi="Titillium Web" w:cs="Times New Roman"/>
          <w:color w:val="6D6D6D"/>
          <w:sz w:val="28"/>
          <w:szCs w:val="28"/>
          <w:lang w:eastAsia="tr-TR"/>
        </w:rPr>
        <w:t>nci</w:t>
      </w:r>
      <w:proofErr w:type="spellEnd"/>
      <w:r w:rsidRPr="00435205">
        <w:rPr>
          <w:rFonts w:ascii="Titillium Web" w:eastAsia="Times New Roman" w:hAnsi="Titillium Web" w:cs="Times New Roman"/>
          <w:color w:val="6D6D6D"/>
          <w:sz w:val="28"/>
          <w:szCs w:val="28"/>
          <w:lang w:eastAsia="tr-TR"/>
        </w:rPr>
        <w:t xml:space="preserve"> maddesinin ikinci fıkrası saklı kalmak üzere, hesap döneminin kapanmasını izleyen 4 üncü ayın 25 inci gününü takiben en geç bir ay içerisinde geri verilir.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İbra</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MADDE 8 – </w:t>
      </w:r>
      <w:r w:rsidRPr="00435205">
        <w:rPr>
          <w:rFonts w:ascii="Titillium Web" w:eastAsia="Times New Roman" w:hAnsi="Titillium Web" w:cs="Times New Roman"/>
          <w:color w:val="6D6D6D"/>
          <w:sz w:val="28"/>
          <w:szCs w:val="28"/>
          <w:lang w:eastAsia="tr-TR"/>
        </w:rPr>
        <w:t>(1) Birleşik genel kurulda, birleştirilen her bir hesap devresine yönelik raporlar ve ibralar ayrı ayrı görüşülür ve herhangi bir hesap dönemine yönelik ibra edilmeyen yönetim kurulu üyeleri ve denetçiler bu organlara aynı genel kurulda tekrar seçilemezler.</w:t>
      </w:r>
    </w:p>
    <w:p w:rsidR="00435205" w:rsidRPr="00435205" w:rsidRDefault="00435205" w:rsidP="00435205">
      <w:pPr>
        <w:spacing w:after="300" w:line="240" w:lineRule="auto"/>
        <w:jc w:val="center"/>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DÖRDÜNCÜ BÖLÜM</w:t>
      </w:r>
    </w:p>
    <w:p w:rsidR="00435205" w:rsidRPr="00435205" w:rsidRDefault="00435205" w:rsidP="00435205">
      <w:pPr>
        <w:spacing w:after="300" w:line="240" w:lineRule="auto"/>
        <w:jc w:val="center"/>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Çeşitli ve Son Hükümler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Üst kuruluşlarca yapılacak bildirim</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MADDE 9 –</w:t>
      </w:r>
      <w:r w:rsidRPr="00435205">
        <w:rPr>
          <w:rFonts w:ascii="Titillium Web" w:eastAsia="Times New Roman" w:hAnsi="Titillium Web" w:cs="Times New Roman"/>
          <w:color w:val="6D6D6D"/>
          <w:sz w:val="28"/>
          <w:szCs w:val="28"/>
          <w:lang w:eastAsia="tr-TR"/>
        </w:rPr>
        <w:t> (1) Ortaklıktan çıkma ya da çıkarılma suretiyle üst kuruluş ile ortaklık ilişkisi sona eren kooperatifler, üst kuruluşlar tarafından il müdürlüğüne bildirilir.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lastRenderedPageBreak/>
        <w:t>Birleştirme şartlarının kaybedilmesi</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proofErr w:type="gramStart"/>
      <w:r w:rsidRPr="00435205">
        <w:rPr>
          <w:rFonts w:ascii="Titillium Web" w:eastAsia="Times New Roman" w:hAnsi="Titillium Web" w:cs="Times New Roman"/>
          <w:b/>
          <w:bCs/>
          <w:color w:val="6D6D6D"/>
          <w:sz w:val="28"/>
          <w:szCs w:val="28"/>
          <w:lang w:eastAsia="tr-TR"/>
        </w:rPr>
        <w:t>MADDE 10 – </w:t>
      </w:r>
      <w:r w:rsidRPr="00435205">
        <w:rPr>
          <w:rFonts w:ascii="Titillium Web" w:eastAsia="Times New Roman" w:hAnsi="Titillium Web" w:cs="Times New Roman"/>
          <w:color w:val="6D6D6D"/>
          <w:sz w:val="28"/>
          <w:szCs w:val="28"/>
          <w:lang w:eastAsia="tr-TR"/>
        </w:rPr>
        <w:t xml:space="preserve">(1) 1163 sayılı Kooperatifler Kanununun 56 </w:t>
      </w:r>
      <w:proofErr w:type="spellStart"/>
      <w:r w:rsidRPr="00435205">
        <w:rPr>
          <w:rFonts w:ascii="Titillium Web" w:eastAsia="Times New Roman" w:hAnsi="Titillium Web" w:cs="Times New Roman"/>
          <w:color w:val="6D6D6D"/>
          <w:sz w:val="28"/>
          <w:szCs w:val="28"/>
          <w:lang w:eastAsia="tr-TR"/>
        </w:rPr>
        <w:t>ncı</w:t>
      </w:r>
      <w:proofErr w:type="spellEnd"/>
      <w:r w:rsidRPr="00435205">
        <w:rPr>
          <w:rFonts w:ascii="Titillium Web" w:eastAsia="Times New Roman" w:hAnsi="Titillium Web" w:cs="Times New Roman"/>
          <w:color w:val="6D6D6D"/>
          <w:sz w:val="28"/>
          <w:szCs w:val="28"/>
          <w:lang w:eastAsia="tr-TR"/>
        </w:rPr>
        <w:t xml:space="preserve"> maddesinin birinci fıkrasının üçüncü bendinde sayılan suçlarla ilgili olarak yönetim kurulu üyeleri hakkında kamu davası açılması veya bu Tebliğin 4 üncü maddesinin ikinci, üçüncü ve dördüncü fıkraları ile 6 </w:t>
      </w:r>
      <w:proofErr w:type="spellStart"/>
      <w:r w:rsidRPr="00435205">
        <w:rPr>
          <w:rFonts w:ascii="Titillium Web" w:eastAsia="Times New Roman" w:hAnsi="Titillium Web" w:cs="Times New Roman"/>
          <w:color w:val="6D6D6D"/>
          <w:sz w:val="28"/>
          <w:szCs w:val="28"/>
          <w:lang w:eastAsia="tr-TR"/>
        </w:rPr>
        <w:t>ncı</w:t>
      </w:r>
      <w:proofErr w:type="spellEnd"/>
      <w:r w:rsidRPr="00435205">
        <w:rPr>
          <w:rFonts w:ascii="Titillium Web" w:eastAsia="Times New Roman" w:hAnsi="Titillium Web" w:cs="Times New Roman"/>
          <w:color w:val="6D6D6D"/>
          <w:sz w:val="28"/>
          <w:szCs w:val="28"/>
          <w:lang w:eastAsia="tr-TR"/>
        </w:rPr>
        <w:t xml:space="preserve"> maddesinde sayılan şartlara aykırı hareket edilmesi halinde birleştirme şartları kaybedilir ve genel kurul olağan toplantıya çağrılır.</w:t>
      </w:r>
      <w:proofErr w:type="gramEnd"/>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Diğer hükümler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MADDE 11 – </w:t>
      </w:r>
      <w:r w:rsidRPr="00435205">
        <w:rPr>
          <w:rFonts w:ascii="Titillium Web" w:eastAsia="Times New Roman" w:hAnsi="Titillium Web" w:cs="Times New Roman"/>
          <w:color w:val="6D6D6D"/>
          <w:sz w:val="28"/>
          <w:szCs w:val="28"/>
          <w:lang w:eastAsia="tr-TR"/>
        </w:rPr>
        <w:t xml:space="preserve">(1) Olağan genel kurul toplantılarını birleştirme kararı alan kooperatiflerin Tebliğdeki hükümlere aykırı </w:t>
      </w:r>
      <w:proofErr w:type="spellStart"/>
      <w:r w:rsidRPr="00435205">
        <w:rPr>
          <w:rFonts w:ascii="Titillium Web" w:eastAsia="Times New Roman" w:hAnsi="Titillium Web" w:cs="Times New Roman"/>
          <w:color w:val="6D6D6D"/>
          <w:sz w:val="28"/>
          <w:szCs w:val="28"/>
          <w:lang w:eastAsia="tr-TR"/>
        </w:rPr>
        <w:t>anasözleşme</w:t>
      </w:r>
      <w:proofErr w:type="spellEnd"/>
      <w:r w:rsidRPr="00435205">
        <w:rPr>
          <w:rFonts w:ascii="Titillium Web" w:eastAsia="Times New Roman" w:hAnsi="Titillium Web" w:cs="Times New Roman"/>
          <w:color w:val="6D6D6D"/>
          <w:sz w:val="28"/>
          <w:szCs w:val="28"/>
          <w:lang w:eastAsia="tr-TR"/>
        </w:rPr>
        <w:t xml:space="preserve"> hükümleri, birleştirme süresince uygulanmaz.</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Yürürlük</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MADDE 12 – </w:t>
      </w:r>
      <w:r w:rsidRPr="00435205">
        <w:rPr>
          <w:rFonts w:ascii="Titillium Web" w:eastAsia="Times New Roman" w:hAnsi="Titillium Web" w:cs="Times New Roman"/>
          <w:color w:val="6D6D6D"/>
          <w:sz w:val="28"/>
          <w:szCs w:val="28"/>
          <w:lang w:eastAsia="tr-TR"/>
        </w:rPr>
        <w:t>(1) Bu Tebliğ yayımı tarihinde yürürlüğe girer.</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Yürütme</w:t>
      </w:r>
    </w:p>
    <w:p w:rsidR="00435205" w:rsidRPr="00435205" w:rsidRDefault="00435205" w:rsidP="00435205">
      <w:pPr>
        <w:spacing w:after="300" w:line="240" w:lineRule="auto"/>
        <w:jc w:val="both"/>
        <w:rPr>
          <w:rFonts w:ascii="Titillium Web" w:eastAsia="Times New Roman" w:hAnsi="Titillium Web" w:cs="Times New Roman"/>
          <w:color w:val="6D6D6D"/>
          <w:sz w:val="28"/>
          <w:szCs w:val="28"/>
          <w:lang w:eastAsia="tr-TR"/>
        </w:rPr>
      </w:pPr>
      <w:r w:rsidRPr="00435205">
        <w:rPr>
          <w:rFonts w:ascii="Titillium Web" w:eastAsia="Times New Roman" w:hAnsi="Titillium Web" w:cs="Times New Roman"/>
          <w:b/>
          <w:bCs/>
          <w:color w:val="6D6D6D"/>
          <w:sz w:val="28"/>
          <w:szCs w:val="28"/>
          <w:lang w:eastAsia="tr-TR"/>
        </w:rPr>
        <w:t>MADDE 13 –</w:t>
      </w:r>
      <w:r w:rsidRPr="00435205">
        <w:rPr>
          <w:rFonts w:ascii="Titillium Web" w:eastAsia="Times New Roman" w:hAnsi="Titillium Web" w:cs="Times New Roman"/>
          <w:color w:val="6D6D6D"/>
          <w:sz w:val="28"/>
          <w:szCs w:val="28"/>
          <w:lang w:eastAsia="tr-TR"/>
        </w:rPr>
        <w:t> (1) Bu Tebliğ hükümlerini Gümrük ve Ticaret Bakanı, Çevre ve Şehircilik Bakanı ve Gıda, Tarım ve Hayvancılık Bakanı yürütür.</w:t>
      </w:r>
    </w:p>
    <w:p w:rsidR="00CB4187" w:rsidRPr="00435205" w:rsidRDefault="00CB4187" w:rsidP="00435205">
      <w:pPr>
        <w:rPr>
          <w:sz w:val="28"/>
          <w:szCs w:val="28"/>
        </w:rPr>
      </w:pPr>
    </w:p>
    <w:sectPr w:rsidR="00CB4187" w:rsidRPr="004352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itillium Web">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205"/>
    <w:rsid w:val="000671B3"/>
    <w:rsid w:val="000E1A12"/>
    <w:rsid w:val="002B53BF"/>
    <w:rsid w:val="00435205"/>
    <w:rsid w:val="007532BF"/>
    <w:rsid w:val="00A32539"/>
    <w:rsid w:val="00CB4187"/>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200566">
      <w:bodyDiv w:val="1"/>
      <w:marLeft w:val="0"/>
      <w:marRight w:val="0"/>
      <w:marTop w:val="0"/>
      <w:marBottom w:val="0"/>
      <w:divBdr>
        <w:top w:val="none" w:sz="0" w:space="0" w:color="auto"/>
        <w:left w:val="none" w:sz="0" w:space="0" w:color="auto"/>
        <w:bottom w:val="none" w:sz="0" w:space="0" w:color="auto"/>
        <w:right w:val="none" w:sz="0" w:space="0" w:color="auto"/>
      </w:divBdr>
      <w:divsChild>
        <w:div w:id="613025603">
          <w:marLeft w:val="0"/>
          <w:marRight w:val="0"/>
          <w:marTop w:val="0"/>
          <w:marBottom w:val="240"/>
          <w:divBdr>
            <w:top w:val="none" w:sz="0" w:space="0" w:color="auto"/>
            <w:left w:val="none" w:sz="0" w:space="0" w:color="auto"/>
            <w:bottom w:val="single" w:sz="6" w:space="5" w:color="EAEAEA"/>
            <w:right w:val="none" w:sz="0" w:space="0" w:color="auto"/>
          </w:divBdr>
          <w:divsChild>
            <w:div w:id="90011314">
              <w:marLeft w:val="0"/>
              <w:marRight w:val="0"/>
              <w:marTop w:val="0"/>
              <w:marBottom w:val="0"/>
              <w:divBdr>
                <w:top w:val="none" w:sz="0" w:space="0" w:color="auto"/>
                <w:left w:val="none" w:sz="0" w:space="0" w:color="auto"/>
                <w:bottom w:val="none" w:sz="0" w:space="0" w:color="auto"/>
                <w:right w:val="none" w:sz="0" w:space="0" w:color="auto"/>
              </w:divBdr>
            </w:div>
          </w:divsChild>
        </w:div>
        <w:div w:id="721631807">
          <w:marLeft w:val="0"/>
          <w:marRight w:val="0"/>
          <w:marTop w:val="0"/>
          <w:marBottom w:val="0"/>
          <w:divBdr>
            <w:top w:val="none" w:sz="0" w:space="0" w:color="auto"/>
            <w:left w:val="none" w:sz="0" w:space="0" w:color="auto"/>
            <w:bottom w:val="none" w:sz="0" w:space="0" w:color="auto"/>
            <w:right w:val="none" w:sz="0" w:space="0" w:color="auto"/>
          </w:divBdr>
          <w:divsChild>
            <w:div w:id="647514244">
              <w:marLeft w:val="0"/>
              <w:marRight w:val="0"/>
              <w:marTop w:val="0"/>
              <w:marBottom w:val="326"/>
              <w:divBdr>
                <w:top w:val="single" w:sz="6" w:space="12" w:color="BCEBCF"/>
                <w:left w:val="single" w:sz="6" w:space="31" w:color="BCEBCF"/>
                <w:bottom w:val="single" w:sz="6" w:space="12" w:color="BCEBCF"/>
                <w:right w:val="single" w:sz="6" w:space="12" w:color="BCEBCF"/>
              </w:divBdr>
            </w:div>
            <w:div w:id="148131850">
              <w:marLeft w:val="0"/>
              <w:marRight w:val="0"/>
              <w:marTop w:val="0"/>
              <w:marBottom w:val="326"/>
              <w:divBdr>
                <w:top w:val="single" w:sz="6" w:space="12" w:color="FBC7C5"/>
                <w:left w:val="single" w:sz="6" w:space="31" w:color="FBC7C5"/>
                <w:bottom w:val="single" w:sz="6" w:space="12" w:color="FBC7C5"/>
                <w:right w:val="single" w:sz="6" w:space="12" w:color="FBC7C5"/>
              </w:divBdr>
            </w:div>
          </w:divsChild>
        </w:div>
      </w:divsChild>
    </w:div>
    <w:div w:id="1074282864">
      <w:bodyDiv w:val="1"/>
      <w:marLeft w:val="0"/>
      <w:marRight w:val="0"/>
      <w:marTop w:val="0"/>
      <w:marBottom w:val="0"/>
      <w:divBdr>
        <w:top w:val="none" w:sz="0" w:space="0" w:color="auto"/>
        <w:left w:val="none" w:sz="0" w:space="0" w:color="auto"/>
        <w:bottom w:val="none" w:sz="0" w:space="0" w:color="auto"/>
        <w:right w:val="none" w:sz="0" w:space="0" w:color="auto"/>
      </w:divBdr>
      <w:divsChild>
        <w:div w:id="1135567139">
          <w:marLeft w:val="0"/>
          <w:marRight w:val="0"/>
          <w:marTop w:val="0"/>
          <w:marBottom w:val="240"/>
          <w:divBdr>
            <w:top w:val="none" w:sz="0" w:space="0" w:color="auto"/>
            <w:left w:val="none" w:sz="0" w:space="0" w:color="auto"/>
            <w:bottom w:val="single" w:sz="6" w:space="5" w:color="EAEAEA"/>
            <w:right w:val="none" w:sz="0" w:space="0" w:color="auto"/>
          </w:divBdr>
          <w:divsChild>
            <w:div w:id="337149562">
              <w:marLeft w:val="0"/>
              <w:marRight w:val="0"/>
              <w:marTop w:val="0"/>
              <w:marBottom w:val="0"/>
              <w:divBdr>
                <w:top w:val="none" w:sz="0" w:space="0" w:color="auto"/>
                <w:left w:val="none" w:sz="0" w:space="0" w:color="auto"/>
                <w:bottom w:val="none" w:sz="0" w:space="0" w:color="auto"/>
                <w:right w:val="none" w:sz="0" w:space="0" w:color="auto"/>
              </w:divBdr>
            </w:div>
          </w:divsChild>
        </w:div>
        <w:div w:id="39894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omaliye.com/2000/09/12/kooperatifler-kanunu-1163-sayili-kanun/"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4794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2018-03-02T11:29:00Z</dcterms:created>
  <dcterms:modified xsi:type="dcterms:W3CDTF">2018-03-02T11:31:00Z</dcterms:modified>
</cp:coreProperties>
</file>