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32" w:rsidRPr="00131C32" w:rsidRDefault="00131C32" w:rsidP="00131C32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</w:pPr>
      <w:r w:rsidRPr="00131C32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>4684 SAYILI KANUNDA YER ALAN KAYNAK KULLANIMINI DESTEKLEME FONU KESİNTİ İSTİSNASI</w:t>
      </w:r>
    </w:p>
    <w:p w:rsidR="00D804A3" w:rsidRPr="00131C32" w:rsidRDefault="00131C32" w:rsidP="00131C3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131C32">
        <w:rPr>
          <w:rFonts w:ascii="Times New Roman" w:hAnsi="Times New Roman" w:cs="Times New Roman"/>
          <w:color w:val="6F6F6F"/>
          <w:sz w:val="28"/>
          <w:szCs w:val="28"/>
          <w:shd w:val="clear" w:color="auto" w:fill="FFFFFF"/>
        </w:rPr>
        <w:t>Dahilde</w:t>
      </w:r>
      <w:proofErr w:type="gramEnd"/>
      <w:r w:rsidRPr="00131C32">
        <w:rPr>
          <w:rFonts w:ascii="Times New Roman" w:hAnsi="Times New Roman" w:cs="Times New Roman"/>
          <w:color w:val="6F6F6F"/>
          <w:sz w:val="28"/>
          <w:szCs w:val="28"/>
          <w:shd w:val="clear" w:color="auto" w:fill="FFFFFF"/>
        </w:rPr>
        <w:t xml:space="preserve"> işleme izin belgesi kapsamında yapılan ithalat ve kredi işlemeleri üzerinden KKDF kesintisi yapılmamaktadır.   (</w:t>
      </w:r>
      <w:r w:rsidRPr="00131C32">
        <w:rPr>
          <w:rStyle w:val="Gl"/>
          <w:rFonts w:ascii="Times New Roman" w:hAnsi="Times New Roman" w:cs="Times New Roman"/>
          <w:color w:val="6F6F6F"/>
          <w:sz w:val="28"/>
          <w:szCs w:val="28"/>
          <w:shd w:val="clear" w:color="auto" w:fill="FFFFFF"/>
        </w:rPr>
        <w:t>4684 Sayılı Kanunun Geçici 3. Maddesi ile 88/12944 Sayılı Kararnameye İlişkin KKDF Hakkında 6 Sıra No.lu Tebliğin 2. Maddesi)</w:t>
      </w:r>
      <w:bookmarkEnd w:id="0"/>
    </w:p>
    <w:sectPr w:rsidR="00D804A3" w:rsidRPr="0013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32"/>
    <w:rsid w:val="00131C32"/>
    <w:rsid w:val="00D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31C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31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2018-09-06T12:14:00Z</dcterms:created>
  <dcterms:modified xsi:type="dcterms:W3CDTF">2018-09-06T12:14:00Z</dcterms:modified>
</cp:coreProperties>
</file>