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5C" w:rsidRPr="00C2175C" w:rsidRDefault="00C2175C" w:rsidP="00C2175C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C2175C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4691 SAYILI TEKNOLOJİ GELİŞTİRME BÖLGELERİ KANUNUNDA YER ALAN VERGİSEL TEŞVİKLER</w:t>
      </w:r>
    </w:p>
    <w:p w:rsidR="00C2175C" w:rsidRPr="005A6296" w:rsidRDefault="00C2175C" w:rsidP="005A6296">
      <w:pPr>
        <w:pStyle w:val="NormalWeb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bookmarkStart w:id="0" w:name="_GoBack"/>
      <w:r w:rsidRPr="005A6296">
        <w:rPr>
          <w:color w:val="6F6F6F"/>
          <w:sz w:val="28"/>
          <w:szCs w:val="28"/>
        </w:rPr>
        <w:t xml:space="preserve">- Teknoloji geliştirme bölgelerinde faaliyet gösteren mükelleflerin bölgedeki yazılım ve      Ar-Ge faaliyetlerinden elde ettikleri kazançlar </w:t>
      </w:r>
      <w:proofErr w:type="gramStart"/>
      <w:r w:rsidRPr="005A6296">
        <w:rPr>
          <w:color w:val="6F6F6F"/>
          <w:sz w:val="28"/>
          <w:szCs w:val="28"/>
        </w:rPr>
        <w:t>31/12/2023</w:t>
      </w:r>
      <w:proofErr w:type="gramEnd"/>
      <w:r w:rsidRPr="005A6296">
        <w:rPr>
          <w:color w:val="6F6F6F"/>
          <w:sz w:val="28"/>
          <w:szCs w:val="28"/>
        </w:rPr>
        <w:t xml:space="preserve"> tarihine kadar gelir ve kurumlar vergisinden istisnadır.</w:t>
      </w:r>
    </w:p>
    <w:p w:rsidR="00C2175C" w:rsidRPr="005A6296" w:rsidRDefault="00C2175C" w:rsidP="005A6296">
      <w:pPr>
        <w:pStyle w:val="NormalWeb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5A6296">
        <w:rPr>
          <w:color w:val="6F6F6F"/>
          <w:sz w:val="28"/>
          <w:szCs w:val="28"/>
        </w:rPr>
        <w:t>Yönetici şirket, bu Kanunun uygulanması ile ilgili işlemlerde her türlü vergi, resim ve harçtan muaftır.</w:t>
      </w:r>
    </w:p>
    <w:p w:rsidR="00C2175C" w:rsidRPr="005A6296" w:rsidRDefault="00C2175C" w:rsidP="005A6296">
      <w:pPr>
        <w:pStyle w:val="NormalWeb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5A6296">
        <w:rPr>
          <w:color w:val="6F6F6F"/>
          <w:sz w:val="28"/>
          <w:szCs w:val="28"/>
        </w:rPr>
        <w:t xml:space="preserve">Bölgede çalışan; AR-GE ve destek personelinin bu görevleri ile ilgili ücretleri, </w:t>
      </w:r>
      <w:proofErr w:type="gramStart"/>
      <w:r w:rsidRPr="005A6296">
        <w:rPr>
          <w:color w:val="6F6F6F"/>
          <w:sz w:val="28"/>
          <w:szCs w:val="28"/>
        </w:rPr>
        <w:t>31/12/2023</w:t>
      </w:r>
      <w:proofErr w:type="gramEnd"/>
      <w:r w:rsidRPr="005A6296">
        <w:rPr>
          <w:color w:val="6F6F6F"/>
          <w:sz w:val="28"/>
          <w:szCs w:val="28"/>
        </w:rPr>
        <w:t xml:space="preserve"> tarihine kadar her türlü vergiden müstesnadır.</w:t>
      </w:r>
    </w:p>
    <w:p w:rsidR="00C2175C" w:rsidRPr="005A6296" w:rsidRDefault="00C2175C" w:rsidP="005A6296">
      <w:pPr>
        <w:pStyle w:val="NormalWeb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5A6296">
        <w:rPr>
          <w:color w:val="6F6F6F"/>
          <w:sz w:val="28"/>
          <w:szCs w:val="28"/>
        </w:rPr>
        <w:t xml:space="preserve">- Teknoloji geliştirme bölgesi yönetici şirketlerinin 4691 sayılı Teknoloji Geliştirme Bölgeleri Kanunu uygulaması kapsamında elde ettikleri kazançlar da </w:t>
      </w:r>
      <w:proofErr w:type="gramStart"/>
      <w:r w:rsidRPr="005A6296">
        <w:rPr>
          <w:color w:val="6F6F6F"/>
          <w:sz w:val="28"/>
          <w:szCs w:val="28"/>
        </w:rPr>
        <w:t>31/12/2023</w:t>
      </w:r>
      <w:proofErr w:type="gramEnd"/>
      <w:r w:rsidRPr="005A6296">
        <w:rPr>
          <w:color w:val="6F6F6F"/>
          <w:sz w:val="28"/>
          <w:szCs w:val="28"/>
        </w:rPr>
        <w:t xml:space="preserve"> tarihine kadar gelir veya kurumlar vergisinden istisna edilmiştir.</w:t>
      </w:r>
    </w:p>
    <w:p w:rsidR="00C2175C" w:rsidRPr="005A6296" w:rsidRDefault="00C2175C" w:rsidP="005A6296">
      <w:pPr>
        <w:pStyle w:val="NormalWeb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5A6296">
        <w:rPr>
          <w:color w:val="6F6F6F"/>
          <w:sz w:val="28"/>
          <w:szCs w:val="28"/>
        </w:rPr>
        <w:t>Bu istisnalar, TÜBİTAK- Marmara Araştırma Merkezi Teknoloji Serbest Bölgesi yönetici şirketi, bu bölgede faaliyet gösteren gelir ve kurumlar vergisi mükellefleri ile bölgede çalışan araştırmacı, yazılımcı ve Ar-Ge personeli ücretleri bakımından da uygulanır. (</w:t>
      </w:r>
      <w:hyperlink r:id="rId5" w:tgtFrame="_blank" w:history="1">
        <w:r w:rsidRPr="005A6296">
          <w:rPr>
            <w:rStyle w:val="Kpr"/>
            <w:b/>
            <w:bCs/>
            <w:color w:val="5C6F83"/>
            <w:sz w:val="28"/>
            <w:szCs w:val="28"/>
            <w:u w:val="none"/>
          </w:rPr>
          <w:t>TGBK Geçici md 2</w:t>
        </w:r>
      </w:hyperlink>
      <w:r w:rsidRPr="005A6296">
        <w:rPr>
          <w:color w:val="6F6F6F"/>
          <w:sz w:val="28"/>
          <w:szCs w:val="28"/>
        </w:rPr>
        <w:t>, </w:t>
      </w:r>
      <w:hyperlink r:id="rId6" w:tgtFrame="_blank" w:history="1">
        <w:r w:rsidRPr="005A6296">
          <w:rPr>
            <w:rStyle w:val="Kpr"/>
            <w:b/>
            <w:bCs/>
            <w:color w:val="5C6F83"/>
            <w:sz w:val="28"/>
            <w:szCs w:val="28"/>
            <w:u w:val="none"/>
          </w:rPr>
          <w:t>KVGT 1</w:t>
        </w:r>
      </w:hyperlink>
      <w:r w:rsidRPr="005A6296">
        <w:rPr>
          <w:color w:val="6F6F6F"/>
          <w:sz w:val="28"/>
          <w:szCs w:val="28"/>
        </w:rPr>
        <w:t>)</w:t>
      </w:r>
    </w:p>
    <w:p w:rsidR="00C2175C" w:rsidRPr="005A6296" w:rsidRDefault="00C2175C" w:rsidP="005A6296">
      <w:pPr>
        <w:pStyle w:val="NormalWeb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5A6296">
        <w:rPr>
          <w:color w:val="6F6F6F"/>
          <w:sz w:val="28"/>
          <w:szCs w:val="28"/>
        </w:rPr>
        <w:t xml:space="preserve">Teknoloji geliştirme bölgesinde faaliyette bulunan girişimcilerin kazançlarının gelir veya kurumlar vergisinden istisna bulunduğu süre içinde, sadece bu bölgelerde ürettikleri ve sistem yönetimi, veri yönetimi, iş uygulamaları, </w:t>
      </w:r>
      <w:proofErr w:type="spellStart"/>
      <w:r w:rsidRPr="005A6296">
        <w:rPr>
          <w:color w:val="6F6F6F"/>
          <w:sz w:val="28"/>
          <w:szCs w:val="28"/>
        </w:rPr>
        <w:t>sektörel</w:t>
      </w:r>
      <w:proofErr w:type="spellEnd"/>
      <w:r w:rsidRPr="005A6296">
        <w:rPr>
          <w:color w:val="6F6F6F"/>
          <w:sz w:val="28"/>
          <w:szCs w:val="28"/>
        </w:rPr>
        <w:t>, internet, mobil ve askeri komuta kontrol uygulama yazılımı şeklindeki teslim ve hizmetleri katma değer vergisinden de istisnadır. (</w:t>
      </w:r>
      <w:hyperlink r:id="rId7" w:tgtFrame="_blank" w:history="1">
        <w:r w:rsidRPr="005A6296">
          <w:rPr>
            <w:rStyle w:val="Kpr"/>
            <w:b/>
            <w:bCs/>
            <w:color w:val="5C6F83"/>
            <w:sz w:val="28"/>
            <w:szCs w:val="28"/>
            <w:u w:val="none"/>
          </w:rPr>
          <w:t>KDVK geçici md 20</w:t>
        </w:r>
      </w:hyperlink>
      <w:r w:rsidRPr="005A6296">
        <w:rPr>
          <w:color w:val="6F6F6F"/>
          <w:sz w:val="28"/>
          <w:szCs w:val="28"/>
        </w:rPr>
        <w:t>)</w:t>
      </w:r>
    </w:p>
    <w:p w:rsidR="00C2175C" w:rsidRPr="005A6296" w:rsidRDefault="00C2175C" w:rsidP="005A6296">
      <w:pPr>
        <w:pStyle w:val="NormalWeb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5A6296">
        <w:rPr>
          <w:color w:val="6F6F6F"/>
          <w:sz w:val="28"/>
          <w:szCs w:val="28"/>
        </w:rPr>
        <w:t xml:space="preserve">Organize sanayi, endüstri veya teknoloji geliştirme bölgelerinde yer alan gayrimenkullerin ifraz veya taksim veya birleştirme işlemleri harçtan müstesnadır. </w:t>
      </w:r>
      <w:proofErr w:type="gramStart"/>
      <w:r w:rsidRPr="005A6296">
        <w:rPr>
          <w:color w:val="6F6F6F"/>
          <w:sz w:val="28"/>
          <w:szCs w:val="28"/>
        </w:rPr>
        <w:t>(</w:t>
      </w:r>
      <w:proofErr w:type="gramEnd"/>
      <w:r w:rsidRPr="005A6296">
        <w:rPr>
          <w:color w:val="6F6F6F"/>
          <w:sz w:val="28"/>
          <w:szCs w:val="28"/>
        </w:rPr>
        <w:fldChar w:fldCharType="begin"/>
      </w:r>
      <w:r w:rsidRPr="005A6296">
        <w:rPr>
          <w:color w:val="6F6F6F"/>
          <w:sz w:val="28"/>
          <w:szCs w:val="28"/>
        </w:rPr>
        <w:instrText xml:space="preserve"> HYPERLINK "http://www.gib.gov.tr/index.php?id=1079&amp;uid=34G6EHI8FJAIMW3N&amp;type=madde" \t "_blank" </w:instrText>
      </w:r>
      <w:r w:rsidRPr="005A6296">
        <w:rPr>
          <w:color w:val="6F6F6F"/>
          <w:sz w:val="28"/>
          <w:szCs w:val="28"/>
        </w:rPr>
        <w:fldChar w:fldCharType="separate"/>
      </w:r>
      <w:r w:rsidRPr="005A6296">
        <w:rPr>
          <w:rStyle w:val="Kpr"/>
          <w:b/>
          <w:bCs/>
          <w:color w:val="5C6F83"/>
          <w:sz w:val="28"/>
          <w:szCs w:val="28"/>
          <w:u w:val="none"/>
        </w:rPr>
        <w:t xml:space="preserve">HK. </w:t>
      </w:r>
      <w:proofErr w:type="spellStart"/>
      <w:proofErr w:type="gramStart"/>
      <w:r w:rsidRPr="005A6296">
        <w:rPr>
          <w:rStyle w:val="Kpr"/>
          <w:b/>
          <w:bCs/>
          <w:color w:val="5C6F83"/>
          <w:sz w:val="28"/>
          <w:szCs w:val="28"/>
          <w:u w:val="none"/>
        </w:rPr>
        <w:t>md</w:t>
      </w:r>
      <w:proofErr w:type="gramEnd"/>
      <w:r w:rsidRPr="005A6296">
        <w:rPr>
          <w:rStyle w:val="Kpr"/>
          <w:b/>
          <w:bCs/>
          <w:color w:val="5C6F83"/>
          <w:sz w:val="28"/>
          <w:szCs w:val="28"/>
          <w:u w:val="none"/>
        </w:rPr>
        <w:t>.</w:t>
      </w:r>
      <w:proofErr w:type="spellEnd"/>
      <w:r w:rsidRPr="005A6296">
        <w:rPr>
          <w:rStyle w:val="Kpr"/>
          <w:b/>
          <w:bCs/>
          <w:color w:val="5C6F83"/>
          <w:sz w:val="28"/>
          <w:szCs w:val="28"/>
          <w:u w:val="none"/>
        </w:rPr>
        <w:t xml:space="preserve"> 59/n</w:t>
      </w:r>
      <w:r w:rsidRPr="005A6296">
        <w:rPr>
          <w:color w:val="6F6F6F"/>
          <w:sz w:val="28"/>
          <w:szCs w:val="28"/>
        </w:rPr>
        <w:fldChar w:fldCharType="end"/>
      </w:r>
      <w:r w:rsidRPr="005A6296">
        <w:rPr>
          <w:color w:val="6F6F6F"/>
          <w:sz w:val="28"/>
          <w:szCs w:val="28"/>
        </w:rPr>
        <w:t>) </w:t>
      </w:r>
      <w:r w:rsidRPr="005A6296">
        <w:rPr>
          <w:noProof/>
          <w:color w:val="6F6F6F"/>
          <w:sz w:val="28"/>
          <w:szCs w:val="28"/>
        </w:rPr>
        <mc:AlternateContent>
          <mc:Choice Requires="wps">
            <w:drawing>
              <wp:inline distT="0" distB="0" distL="0" distR="0" wp14:anchorId="6ED46361" wp14:editId="64F570B4">
                <wp:extent cx="9525" cy="95250"/>
                <wp:effectExtent l="0" t="0" r="0" b="0"/>
                <wp:docPr id="1" name="AutoShape 1" descr="http://gib.gov.tr/cle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Açıklama: http://gib.gov.tr/clear.gif" style="width: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bookmarkEnd w:id="0"/>
    <w:p w:rsidR="00FD2FB2" w:rsidRPr="005A6296" w:rsidRDefault="00FD2FB2" w:rsidP="005A62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2FB2" w:rsidRPr="005A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5C"/>
    <w:rsid w:val="005A6296"/>
    <w:rsid w:val="00C2175C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21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21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04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b.gov.tr/index.php?id=1079&amp;uid=O9W48HYEW7DH4WIC&amp;type=mad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ib.gov.tr/index.php?id=1079&amp;uid=1C12RSLUXHB3VASX&amp;type=teblig" TargetMode="External"/><Relationship Id="rId5" Type="http://schemas.openxmlformats.org/officeDocument/2006/relationships/hyperlink" Target="http://www.gib.gov.tr/index.php?id=1079&amp;uid=DW8QNRMZEB4CAPBG&amp;type=mad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2018-09-06T11:20:00Z</dcterms:created>
  <dcterms:modified xsi:type="dcterms:W3CDTF">2018-09-06T11:52:00Z</dcterms:modified>
</cp:coreProperties>
</file>