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19" w:rsidRPr="00847BAE" w:rsidRDefault="00A21419" w:rsidP="00A21419">
      <w:pPr>
        <w:spacing w:after="0" w:line="180" w:lineRule="atLeast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tr-TR"/>
        </w:rPr>
        <w:t>YATIRIM TEŞVİKLERİ</w:t>
      </w:r>
    </w:p>
    <w:p w:rsidR="00B274D1" w:rsidRDefault="00B274D1" w:rsidP="00A21419">
      <w:pPr>
        <w:spacing w:after="0" w:line="18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</w:p>
    <w:p w:rsidR="00A21419" w:rsidRPr="00847BAE" w:rsidRDefault="00A21419" w:rsidP="00A21419">
      <w:pPr>
        <w:spacing w:after="0" w:line="18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bookmarkStart w:id="0" w:name="_GoBack"/>
      <w:bookmarkEnd w:id="0"/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Yatırım Teşvik Sistemi 4 alt uygulamadan oluşmaktadır:</w:t>
      </w:r>
    </w:p>
    <w:p w:rsidR="00A21419" w:rsidRPr="00847BAE" w:rsidRDefault="00A21419" w:rsidP="00A21419">
      <w:pPr>
        <w:spacing w:after="0" w:line="180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A.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Genel Teşvik Sistemi</w:t>
      </w:r>
    </w:p>
    <w:p w:rsidR="00A21419" w:rsidRPr="00847BAE" w:rsidRDefault="00A21419" w:rsidP="00A21419">
      <w:pPr>
        <w:spacing w:after="0" w:line="180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B.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Bölgesel Teşvik Uygulamaları</w:t>
      </w:r>
    </w:p>
    <w:p w:rsidR="00A21419" w:rsidRPr="00847BAE" w:rsidRDefault="00A21419" w:rsidP="00A21419">
      <w:pPr>
        <w:spacing w:after="0" w:line="180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C.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Büyük Ölçekli Yatırımlar</w:t>
      </w:r>
    </w:p>
    <w:p w:rsidR="00A21419" w:rsidRPr="00847BAE" w:rsidRDefault="00A21419" w:rsidP="00A21419">
      <w:pPr>
        <w:spacing w:after="0" w:line="180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D.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Stratejik Yatırımlar</w:t>
      </w:r>
    </w:p>
    <w:p w:rsidR="00A21419" w:rsidRPr="00847BAE" w:rsidRDefault="00A21419" w:rsidP="00A21419">
      <w:pPr>
        <w:spacing w:after="0" w:line="18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 </w:t>
      </w:r>
    </w:p>
    <w:p w:rsidR="00A21419" w:rsidRPr="00847BAE" w:rsidRDefault="00A21419" w:rsidP="00A21419">
      <w:pPr>
        <w:spacing w:after="0" w:line="18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Yatırım Teşvik Sistemi Türkiye’yi 6 ana bölgeye ayırmaktadır.</w:t>
      </w:r>
    </w:p>
    <w:p w:rsidR="00A21419" w:rsidRPr="00847BAE" w:rsidRDefault="00A21419" w:rsidP="00A21419">
      <w:pPr>
        <w:spacing w:after="0" w:line="18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I. Bölge en gelişmiş, VI. Bölge en az gelişmiş bölgedir.</w:t>
      </w:r>
    </w:p>
    <w:p w:rsidR="00A21419" w:rsidRPr="00847BAE" w:rsidRDefault="00A21419" w:rsidP="00A21419">
      <w:pPr>
        <w:spacing w:after="0" w:line="18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proofErr w:type="spellStart"/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I.Bölge’den</w:t>
      </w:r>
      <w:proofErr w:type="spellEnd"/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 xml:space="preserve"> VI. Bölge’ye gidildikçe destek unsurlarının oran ve süreleri artmakta, asgari yatırım tutarları ise düşmektedir.</w:t>
      </w:r>
    </w:p>
    <w:p w:rsidR="00A21419" w:rsidRPr="00847BAE" w:rsidRDefault="00A21419" w:rsidP="00A21419">
      <w:pPr>
        <w:spacing w:after="0" w:line="18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Aşağıdaki haritada, illerin Yatırım Teşvik Sistemi çerçevesinde bölgelere göre dağılımı görülmektedir.</w:t>
      </w:r>
    </w:p>
    <w:p w:rsidR="00A21419" w:rsidRPr="00847BAE" w:rsidRDefault="00A21419" w:rsidP="00A21419">
      <w:pPr>
        <w:spacing w:after="0" w:line="18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tr-TR"/>
        </w:rPr>
        <w:t> </w:t>
      </w:r>
    </w:p>
    <w:p w:rsidR="00A21419" w:rsidRPr="00A21419" w:rsidRDefault="00A21419" w:rsidP="00A21419">
      <w:pPr>
        <w:spacing w:after="0" w:line="180" w:lineRule="atLeast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A21419">
        <w:rPr>
          <w:rFonts w:ascii="Verdana" w:eastAsia="Times New Roman" w:hAnsi="Verdana" w:cs="Times New Roman"/>
          <w:b/>
          <w:bCs/>
          <w:i/>
          <w:iCs/>
          <w:noProof/>
          <w:color w:val="000000"/>
          <w:sz w:val="18"/>
          <w:szCs w:val="18"/>
          <w:lang w:eastAsia="tr-TR"/>
        </w:rPr>
        <w:lastRenderedPageBreak/>
        <w:drawing>
          <wp:inline distT="0" distB="0" distL="0" distR="0" wp14:anchorId="7CA6620F" wp14:editId="160CC606">
            <wp:extent cx="8934450" cy="4829175"/>
            <wp:effectExtent l="0" t="0" r="0" b="9525"/>
            <wp:docPr id="1" name="Resim 1" descr="http://www.ito.org.tr/wps/wcm/connect/4831ea004d8fc2fb96ecf6622a570ed2/1/map.jpg?MOD=AJPERES&amp;CACHEID=4831ea004d8fc2fb96ecf6622a570ed2/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to.org.tr/wps/wcm/connect/4831ea004d8fc2fb96ecf6622a570ed2/1/map.jpg?MOD=AJPERES&amp;CACHEID=4831ea004d8fc2fb96ecf6622a570ed2/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19" w:rsidRPr="00A21419" w:rsidRDefault="00A21419" w:rsidP="00A21419">
      <w:pPr>
        <w:spacing w:after="0" w:line="180" w:lineRule="atLeast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A21419"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  <w:t> </w:t>
      </w:r>
    </w:p>
    <w:p w:rsidR="00A21419" w:rsidRPr="00A21419" w:rsidRDefault="00A21419" w:rsidP="00A21419">
      <w:pPr>
        <w:spacing w:after="0" w:line="180" w:lineRule="atLeast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A21419"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  <w:t> </w:t>
      </w:r>
    </w:p>
    <w:p w:rsidR="00A21419" w:rsidRPr="00A21419" w:rsidRDefault="00A21419" w:rsidP="00A21419">
      <w:pPr>
        <w:spacing w:after="0" w:line="180" w:lineRule="atLeast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A21419"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  <w:t> </w:t>
      </w:r>
    </w:p>
    <w:p w:rsidR="00A21419" w:rsidRPr="00A21419" w:rsidRDefault="00A21419" w:rsidP="00A21419">
      <w:pPr>
        <w:spacing w:after="0" w:line="180" w:lineRule="atLeast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A21419"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  <w:t> </w:t>
      </w:r>
    </w:p>
    <w:p w:rsidR="00A21419" w:rsidRPr="00A21419" w:rsidRDefault="00A21419" w:rsidP="00A21419">
      <w:pPr>
        <w:spacing w:after="0" w:line="180" w:lineRule="atLeast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A21419"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  <w:t> </w:t>
      </w:r>
    </w:p>
    <w:p w:rsidR="00A21419" w:rsidRPr="00A21419" w:rsidRDefault="00A21419" w:rsidP="00A21419">
      <w:pPr>
        <w:spacing w:after="0" w:line="180" w:lineRule="atLeast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A21419"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  <w:t> </w:t>
      </w:r>
    </w:p>
    <w:p w:rsidR="00607B5A" w:rsidRDefault="00A21419" w:rsidP="00A21419">
      <w:pPr>
        <w:spacing w:after="0" w:line="180" w:lineRule="atLeast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A21419"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  <w:t> </w:t>
      </w:r>
    </w:p>
    <w:p w:rsidR="00A21419" w:rsidRPr="00847BAE" w:rsidRDefault="00A21419" w:rsidP="00A21419">
      <w:pPr>
        <w:spacing w:after="0" w:line="18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tr-TR"/>
        </w:rPr>
        <w:lastRenderedPageBreak/>
        <w:t>A.  Genel Teşvik Sistemi       </w:t>
      </w:r>
    </w:p>
    <w:p w:rsidR="00A21419" w:rsidRPr="00847BAE" w:rsidRDefault="00A21419" w:rsidP="00A21419">
      <w:pPr>
        <w:spacing w:after="0" w:line="18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Sektörüne bakılmaksızın (teşvik edilmeyecek yatırım konuları hariç olmak üzere);</w:t>
      </w:r>
    </w:p>
    <w:p w:rsidR="00A21419" w:rsidRPr="00847BAE" w:rsidRDefault="00A21419" w:rsidP="00A21419">
      <w:pPr>
        <w:spacing w:after="0" w:line="180" w:lineRule="atLeast"/>
        <w:ind w:left="785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Wingdings" w:eastAsia="Times New Roman" w:hAnsi="Wingdings" w:cs="Times New Roman"/>
          <w:color w:val="000000"/>
          <w:sz w:val="28"/>
          <w:szCs w:val="28"/>
          <w:lang w:eastAsia="tr-TR"/>
        </w:rPr>
        <w:t>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I. ve II. Bölge’de asgari 1.000.000 TL,</w:t>
      </w:r>
    </w:p>
    <w:p w:rsidR="00A21419" w:rsidRPr="00847BAE" w:rsidRDefault="00A21419" w:rsidP="00A21419">
      <w:pPr>
        <w:spacing w:after="0" w:line="180" w:lineRule="atLeast"/>
        <w:ind w:left="785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Wingdings" w:eastAsia="Times New Roman" w:hAnsi="Wingdings" w:cs="Times New Roman"/>
          <w:color w:val="000000"/>
          <w:sz w:val="28"/>
          <w:szCs w:val="28"/>
          <w:lang w:eastAsia="tr-TR"/>
        </w:rPr>
        <w:t>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III</w:t>
      </w:r>
      <w:proofErr w:type="gramStart"/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.,</w:t>
      </w:r>
      <w:proofErr w:type="gramEnd"/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 xml:space="preserve"> IV., V. ve VI. Bölge’de asgari 500.000 TL          </w:t>
      </w:r>
    </w:p>
    <w:p w:rsidR="00A21419" w:rsidRPr="00847BAE" w:rsidRDefault="00A21419" w:rsidP="00A21419">
      <w:pPr>
        <w:spacing w:after="0" w:line="18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proofErr w:type="gramStart"/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tutarında</w:t>
      </w:r>
      <w:proofErr w:type="gramEnd"/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 xml:space="preserve"> gerçekleştirilecek yatırımlar Genel Teşvik Sistemi’nden yararlanabilmektedir.</w:t>
      </w:r>
    </w:p>
    <w:p w:rsidR="00A21419" w:rsidRPr="00847BAE" w:rsidRDefault="00A21419" w:rsidP="00A21419">
      <w:pPr>
        <w:spacing w:after="0" w:line="18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tr-TR"/>
        </w:rPr>
        <w:t>Genel Teşvik Sistemi çerçevesinde sağlanan destek unsurları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:</w:t>
      </w:r>
    </w:p>
    <w:p w:rsidR="00A21419" w:rsidRPr="00847BAE" w:rsidRDefault="00A21419" w:rsidP="00A21419">
      <w:pPr>
        <w:spacing w:after="0" w:line="18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 </w:t>
      </w:r>
    </w:p>
    <w:p w:rsidR="00A21419" w:rsidRPr="00847BAE" w:rsidRDefault="00A21419" w:rsidP="00A21419">
      <w:pPr>
        <w:spacing w:after="0" w:line="18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Teşvik Belgeli yatırım çerçevesinde, makine-teçhizat alımlarında;</w:t>
      </w:r>
    </w:p>
    <w:p w:rsidR="00A21419" w:rsidRPr="00847BAE" w:rsidRDefault="00A21419" w:rsidP="00A21419">
      <w:pPr>
        <w:spacing w:after="0" w:line="180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Wingdings" w:eastAsia="Times New Roman" w:hAnsi="Wingdings" w:cs="Times New Roman"/>
          <w:color w:val="000000"/>
          <w:sz w:val="28"/>
          <w:szCs w:val="28"/>
          <w:lang w:eastAsia="tr-TR"/>
        </w:rPr>
        <w:t>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KDV İstisnası</w:t>
      </w:r>
    </w:p>
    <w:p w:rsidR="00A21419" w:rsidRPr="00847BAE" w:rsidRDefault="00A21419" w:rsidP="00A21419">
      <w:pPr>
        <w:spacing w:after="0" w:line="180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Wingdings" w:eastAsia="Times New Roman" w:hAnsi="Wingdings" w:cs="Times New Roman"/>
          <w:color w:val="000000"/>
          <w:sz w:val="28"/>
          <w:szCs w:val="28"/>
          <w:lang w:eastAsia="tr-TR"/>
        </w:rPr>
        <w:t>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Gümrük Vergisi Muafiyeti (ithal edilmesi durumunda)</w:t>
      </w:r>
    </w:p>
    <w:p w:rsidR="00A21419" w:rsidRPr="00A21419" w:rsidRDefault="00A21419" w:rsidP="00A2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47BAE">
        <w:rPr>
          <w:rFonts w:ascii="Verdana" w:eastAsia="Times New Roman" w:hAnsi="Verdana" w:cs="Times New Roman"/>
          <w:color w:val="202020"/>
          <w:sz w:val="28"/>
          <w:szCs w:val="28"/>
          <w:lang w:eastAsia="tr-TR"/>
        </w:rPr>
        <w:br w:type="textWrapping" w:clear="all"/>
      </w:r>
    </w:p>
    <w:p w:rsidR="00A21419" w:rsidRPr="00607B5A" w:rsidRDefault="00A21419" w:rsidP="00A21419">
      <w:pPr>
        <w:spacing w:after="0" w:line="18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607B5A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tr-TR"/>
        </w:rPr>
        <w:t>B.  BÖLGESEL TEŞVİK UYGULAMALARI       </w:t>
      </w:r>
    </w:p>
    <w:p w:rsidR="00A21419" w:rsidRPr="00847BAE" w:rsidRDefault="00A21419" w:rsidP="00A21419">
      <w:pPr>
        <w:spacing w:after="0" w:line="225" w:lineRule="atLeast"/>
        <w:ind w:firstLine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Bölgesel Teşvik Uygulamaları kapsamında,</w:t>
      </w:r>
    </w:p>
    <w:p w:rsidR="00A21419" w:rsidRPr="00847BAE" w:rsidRDefault="00A21419" w:rsidP="00A21419">
      <w:pPr>
        <w:spacing w:after="0" w:line="225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Symbol" w:eastAsia="Times New Roman" w:hAnsi="Symbol" w:cs="Times New Roman"/>
          <w:color w:val="000000"/>
          <w:sz w:val="28"/>
          <w:szCs w:val="28"/>
          <w:lang w:eastAsia="tr-TR"/>
        </w:rPr>
        <w:t>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     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her bir ilde teşvik edilecek sektörler</w:t>
      </w:r>
    </w:p>
    <w:p w:rsidR="00A21419" w:rsidRPr="00847BAE" w:rsidRDefault="00A21419" w:rsidP="00A21419">
      <w:pPr>
        <w:spacing w:after="0" w:line="225" w:lineRule="atLeast"/>
        <w:ind w:left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proofErr w:type="gramStart"/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ve</w:t>
      </w:r>
      <w:proofErr w:type="gramEnd"/>
    </w:p>
    <w:p w:rsidR="00A21419" w:rsidRPr="00847BAE" w:rsidRDefault="00A21419" w:rsidP="00A21419">
      <w:pPr>
        <w:spacing w:after="0" w:line="225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Symbol" w:eastAsia="Times New Roman" w:hAnsi="Symbol" w:cs="Times New Roman"/>
          <w:color w:val="000000"/>
          <w:sz w:val="28"/>
          <w:szCs w:val="28"/>
          <w:lang w:eastAsia="tr-TR"/>
        </w:rPr>
        <w:t>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     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bu sektörler için asgari yatırım tutarları</w:t>
      </w:r>
    </w:p>
    <w:p w:rsidR="00A21419" w:rsidRPr="00847BAE" w:rsidRDefault="00A21419" w:rsidP="00A21419">
      <w:pPr>
        <w:spacing w:after="0" w:line="225" w:lineRule="atLeast"/>
        <w:ind w:left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proofErr w:type="gramStart"/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belirlenmiştir</w:t>
      </w:r>
      <w:proofErr w:type="gramEnd"/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.</w:t>
      </w:r>
    </w:p>
    <w:p w:rsidR="00A21419" w:rsidRPr="00847BAE" w:rsidRDefault="00A21419" w:rsidP="00A21419">
      <w:pPr>
        <w:spacing w:after="0" w:line="225" w:lineRule="atLeast"/>
        <w:ind w:firstLine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Bölgesel Teşvik Uygulamaları çerçevesinde, bölgelere göre sağlanan destek unsurları aşağıdaki tabloda gösterilmiştir. </w:t>
      </w:r>
    </w:p>
    <w:p w:rsidR="00A21419" w:rsidRPr="00847BAE" w:rsidRDefault="00A21419" w:rsidP="00A21419">
      <w:pPr>
        <w:spacing w:after="0" w:line="225" w:lineRule="atLeast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b/>
          <w:i/>
          <w:iCs/>
          <w:color w:val="000000"/>
          <w:sz w:val="28"/>
          <w:szCs w:val="28"/>
          <w:u w:val="single"/>
          <w:lang w:eastAsia="tr-TR"/>
        </w:rPr>
        <w:t>İstanbul’da Teşvik Edilen Sektörler (Asgari Yatırım Tutarları)</w:t>
      </w:r>
    </w:p>
    <w:p w:rsidR="00A21419" w:rsidRPr="00847BAE" w:rsidRDefault="00A21419" w:rsidP="00A21419">
      <w:pPr>
        <w:spacing w:after="0" w:line="270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Wingdings" w:eastAsia="Times New Roman" w:hAnsi="Wingdings" w:cs="Times New Roman"/>
          <w:color w:val="000000"/>
          <w:sz w:val="28"/>
          <w:szCs w:val="28"/>
          <w:lang w:eastAsia="tr-TR"/>
        </w:rPr>
        <w:t>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 xml:space="preserve">Derinin tabaklanması </w:t>
      </w:r>
      <w:proofErr w:type="gramStart"/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(</w:t>
      </w:r>
      <w:proofErr w:type="gramEnd"/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Sadece İstanbul Deri İhtisas OSB ve Tuzla OSB’de yapılacak yatırımlar – 1 Milyon TL</w:t>
      </w:r>
    </w:p>
    <w:p w:rsidR="00A21419" w:rsidRPr="00847BAE" w:rsidRDefault="00A21419" w:rsidP="00A21419">
      <w:pPr>
        <w:spacing w:after="0" w:line="270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Wingdings" w:eastAsia="Times New Roman" w:hAnsi="Wingdings" w:cs="Times New Roman"/>
          <w:color w:val="000000"/>
          <w:sz w:val="28"/>
          <w:szCs w:val="28"/>
          <w:lang w:eastAsia="tr-TR"/>
        </w:rPr>
        <w:t>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İlaç / eczacılıkta ve tıpta kullanılan kimyasal ve bitkisel kaynaklı ürünlerin imalatı – 4 Milyon TL</w:t>
      </w:r>
    </w:p>
    <w:p w:rsidR="00A21419" w:rsidRPr="00847BAE" w:rsidRDefault="00A21419" w:rsidP="00A21419">
      <w:pPr>
        <w:spacing w:after="0" w:line="270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Wingdings" w:eastAsia="Times New Roman" w:hAnsi="Wingdings" w:cs="Times New Roman"/>
          <w:color w:val="000000"/>
          <w:sz w:val="28"/>
          <w:szCs w:val="28"/>
          <w:lang w:eastAsia="tr-TR"/>
        </w:rPr>
        <w:t>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Sınai kalıp – 4 Milyon TL</w:t>
      </w:r>
    </w:p>
    <w:p w:rsidR="00A21419" w:rsidRPr="00847BAE" w:rsidRDefault="00A21419" w:rsidP="00A21419">
      <w:pPr>
        <w:spacing w:after="0" w:line="270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Wingdings" w:eastAsia="Times New Roman" w:hAnsi="Wingdings" w:cs="Times New Roman"/>
          <w:color w:val="000000"/>
          <w:sz w:val="28"/>
          <w:szCs w:val="28"/>
          <w:lang w:eastAsia="tr-TR"/>
        </w:rPr>
        <w:t>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Büro, muhasebe ve bilgi işlem makineleri – 4 Milyon TL</w:t>
      </w:r>
    </w:p>
    <w:p w:rsidR="00A21419" w:rsidRPr="00847BAE" w:rsidRDefault="00A21419" w:rsidP="00A21419">
      <w:pPr>
        <w:spacing w:after="0" w:line="270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Wingdings" w:eastAsia="Times New Roman" w:hAnsi="Wingdings" w:cs="Times New Roman"/>
          <w:color w:val="000000"/>
          <w:sz w:val="28"/>
          <w:szCs w:val="28"/>
          <w:lang w:eastAsia="tr-TR"/>
        </w:rPr>
        <w:lastRenderedPageBreak/>
        <w:t>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Radyo, televizyon, haberleşme teçhizatı ve cihazları imalatı – 4 Milyon TL</w:t>
      </w:r>
    </w:p>
    <w:p w:rsidR="00A21419" w:rsidRPr="00847BAE" w:rsidRDefault="00A21419" w:rsidP="00A21419">
      <w:pPr>
        <w:spacing w:after="0" w:line="270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Wingdings" w:eastAsia="Times New Roman" w:hAnsi="Wingdings" w:cs="Times New Roman"/>
          <w:color w:val="000000"/>
          <w:sz w:val="28"/>
          <w:szCs w:val="28"/>
          <w:lang w:eastAsia="tr-TR"/>
        </w:rPr>
        <w:t>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Tıbbi, hassas ve optik aletler – 1 Milyon TL</w:t>
      </w:r>
    </w:p>
    <w:p w:rsidR="00A21419" w:rsidRPr="00847BAE" w:rsidRDefault="00A21419" w:rsidP="00A21419">
      <w:pPr>
        <w:spacing w:after="0" w:line="270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Wingdings" w:eastAsia="Times New Roman" w:hAnsi="Wingdings" w:cs="Times New Roman"/>
          <w:color w:val="000000"/>
          <w:sz w:val="28"/>
          <w:szCs w:val="28"/>
          <w:lang w:eastAsia="tr-TR"/>
        </w:rPr>
        <w:t>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Öğrenci yurtları – 100 öğrenci</w:t>
      </w:r>
    </w:p>
    <w:p w:rsidR="00A21419" w:rsidRPr="00847BAE" w:rsidRDefault="00A21419" w:rsidP="00A21419">
      <w:pPr>
        <w:spacing w:after="0" w:line="270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Wingdings" w:eastAsia="Times New Roman" w:hAnsi="Wingdings" w:cs="Times New Roman"/>
          <w:color w:val="000000"/>
          <w:sz w:val="28"/>
          <w:szCs w:val="28"/>
          <w:lang w:eastAsia="tr-TR"/>
        </w:rPr>
        <w:t>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Eğitim hizmetleri – 1 Milyon TL</w:t>
      </w:r>
    </w:p>
    <w:p w:rsidR="00A21419" w:rsidRPr="00847BAE" w:rsidRDefault="00A21419" w:rsidP="00A21419">
      <w:pPr>
        <w:spacing w:after="0" w:line="270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Wingdings" w:eastAsia="Times New Roman" w:hAnsi="Wingdings" w:cs="Times New Roman"/>
          <w:color w:val="000000"/>
          <w:sz w:val="28"/>
          <w:szCs w:val="28"/>
          <w:lang w:eastAsia="tr-TR"/>
        </w:rPr>
        <w:t>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Hastane yatırımı, huzurevi – Hastane 1 Milyon TL; huzurevi 100 kişi</w:t>
      </w:r>
    </w:p>
    <w:p w:rsidR="00607B5A" w:rsidRDefault="00A21419" w:rsidP="00A21419">
      <w:pPr>
        <w:spacing w:after="0" w:line="270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Wingdings" w:eastAsia="Times New Roman" w:hAnsi="Wingdings" w:cs="Times New Roman"/>
          <w:color w:val="000000"/>
          <w:sz w:val="28"/>
          <w:szCs w:val="28"/>
          <w:lang w:eastAsia="tr-TR"/>
        </w:rPr>
        <w:t>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Atık geri kazanım veya bertaraf tesisleri – 1 Milyon TL</w:t>
      </w:r>
    </w:p>
    <w:p w:rsidR="00847BAE" w:rsidRDefault="00847BAE" w:rsidP="00A21419">
      <w:pPr>
        <w:spacing w:after="0" w:line="270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</w:p>
    <w:p w:rsidR="00847BAE" w:rsidRDefault="00847BAE" w:rsidP="00A21419">
      <w:pPr>
        <w:spacing w:after="0" w:line="270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</w:p>
    <w:p w:rsidR="00847BAE" w:rsidRDefault="00847BAE" w:rsidP="00A21419">
      <w:pPr>
        <w:spacing w:after="0" w:line="270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</w:p>
    <w:p w:rsidR="00847BAE" w:rsidRDefault="00847BAE" w:rsidP="00A21419">
      <w:pPr>
        <w:spacing w:after="0" w:line="270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</w:p>
    <w:p w:rsidR="00847BAE" w:rsidRDefault="00847BAE" w:rsidP="00A21419">
      <w:pPr>
        <w:spacing w:after="0" w:line="270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</w:p>
    <w:p w:rsidR="00847BAE" w:rsidRDefault="00847BAE" w:rsidP="00A21419">
      <w:pPr>
        <w:spacing w:after="0" w:line="270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</w:p>
    <w:p w:rsidR="00847BAE" w:rsidRDefault="00847BAE" w:rsidP="00A21419">
      <w:pPr>
        <w:spacing w:after="0" w:line="270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</w:p>
    <w:p w:rsidR="00847BAE" w:rsidRDefault="00847BAE" w:rsidP="00A21419">
      <w:pPr>
        <w:spacing w:after="0" w:line="270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</w:p>
    <w:p w:rsidR="00847BAE" w:rsidRDefault="00847BAE" w:rsidP="00A21419">
      <w:pPr>
        <w:spacing w:after="0" w:line="270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</w:p>
    <w:p w:rsidR="00847BAE" w:rsidRDefault="00847BAE" w:rsidP="00A21419">
      <w:pPr>
        <w:spacing w:after="0" w:line="270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</w:p>
    <w:p w:rsidR="00847BAE" w:rsidRDefault="00847BAE" w:rsidP="00A21419">
      <w:pPr>
        <w:spacing w:after="0" w:line="270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</w:p>
    <w:p w:rsidR="00847BAE" w:rsidRDefault="00847BAE" w:rsidP="00A21419">
      <w:pPr>
        <w:spacing w:after="0" w:line="270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</w:p>
    <w:p w:rsidR="00847BAE" w:rsidRDefault="00847BAE" w:rsidP="00A21419">
      <w:pPr>
        <w:spacing w:after="0" w:line="270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</w:p>
    <w:p w:rsidR="00847BAE" w:rsidRDefault="00847BAE" w:rsidP="00A21419">
      <w:pPr>
        <w:spacing w:after="0" w:line="270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</w:p>
    <w:p w:rsidR="00847BAE" w:rsidRDefault="00847BAE" w:rsidP="00A21419">
      <w:pPr>
        <w:spacing w:after="0" w:line="270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</w:p>
    <w:p w:rsidR="00847BAE" w:rsidRPr="00847BAE" w:rsidRDefault="00847BAE" w:rsidP="00A21419">
      <w:pPr>
        <w:spacing w:after="0" w:line="270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</w:p>
    <w:p w:rsidR="00607B5A" w:rsidRPr="00847BAE" w:rsidRDefault="00607B5A" w:rsidP="00A21419">
      <w:pPr>
        <w:spacing w:after="0" w:line="270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</w:p>
    <w:p w:rsidR="00A21419" w:rsidRPr="00A21419" w:rsidRDefault="00A21419" w:rsidP="00A21419">
      <w:pPr>
        <w:spacing w:after="0" w:line="270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A21419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 w:type="textWrapping" w:clear="all"/>
      </w:r>
    </w:p>
    <w:tbl>
      <w:tblPr>
        <w:tblW w:w="128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1619"/>
        <w:gridCol w:w="1600"/>
        <w:gridCol w:w="1600"/>
        <w:gridCol w:w="1542"/>
        <w:gridCol w:w="1542"/>
        <w:gridCol w:w="1542"/>
        <w:gridCol w:w="1542"/>
      </w:tblGrid>
      <w:tr w:rsidR="00A21419" w:rsidRPr="00A21419" w:rsidTr="00A21419">
        <w:trPr>
          <w:trHeight w:val="966"/>
        </w:trPr>
        <w:tc>
          <w:tcPr>
            <w:tcW w:w="3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tr-TR"/>
              </w:rPr>
              <w:lastRenderedPageBreak/>
              <w:t>Destek Unsurları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tr-TR"/>
              </w:rPr>
              <w:t>I. Bölge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tr-TR"/>
              </w:rPr>
              <w:t>II. Bölge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tr-TR"/>
              </w:rPr>
              <w:t>III. Bölge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tr-TR"/>
              </w:rPr>
              <w:t>IV. Bölge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tr-TR"/>
              </w:rPr>
              <w:t>V. Bölge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tr-TR"/>
              </w:rPr>
              <w:t>VI. Bölge</w:t>
            </w:r>
          </w:p>
        </w:tc>
      </w:tr>
      <w:tr w:rsidR="00A21419" w:rsidRPr="00A21419" w:rsidTr="00A21419">
        <w:trPr>
          <w:trHeight w:val="305"/>
        </w:trPr>
        <w:tc>
          <w:tcPr>
            <w:tcW w:w="34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KDV İstisnası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</w:tr>
      <w:tr w:rsidR="00A21419" w:rsidRPr="00A21419" w:rsidTr="00A21419">
        <w:trPr>
          <w:trHeight w:val="321"/>
        </w:trPr>
        <w:tc>
          <w:tcPr>
            <w:tcW w:w="34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Gümrük Vergisi Muafiyeti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</w:tr>
      <w:tr w:rsidR="00A21419" w:rsidRPr="00A21419" w:rsidTr="00A21419">
        <w:trPr>
          <w:trHeight w:val="643"/>
        </w:trPr>
        <w:tc>
          <w:tcPr>
            <w:tcW w:w="18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Yatırıma Katkı Oranı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OSB Dışı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%10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%15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%20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%25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%30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%35</w:t>
            </w:r>
          </w:p>
        </w:tc>
      </w:tr>
      <w:tr w:rsidR="00A21419" w:rsidRPr="00A21419" w:rsidTr="00A21419">
        <w:trPr>
          <w:trHeight w:val="4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419" w:rsidRPr="00A21419" w:rsidRDefault="00A21419" w:rsidP="00A214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OSB İçi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%15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%20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%25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%30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%35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%40</w:t>
            </w:r>
          </w:p>
        </w:tc>
      </w:tr>
      <w:tr w:rsidR="00A21419" w:rsidRPr="00A21419" w:rsidTr="00A21419">
        <w:trPr>
          <w:trHeight w:val="643"/>
        </w:trPr>
        <w:tc>
          <w:tcPr>
            <w:tcW w:w="18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Sigorta Primi İşveren Hissesi Desteği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OSB Dışı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3 Yıl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5 Yıl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6 Yıl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7 Yıl</w:t>
            </w:r>
          </w:p>
        </w:tc>
      </w:tr>
      <w:tr w:rsidR="00A21419" w:rsidRPr="00A21419" w:rsidTr="00A21419">
        <w:trPr>
          <w:trHeight w:val="12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419" w:rsidRPr="00A21419" w:rsidRDefault="00A21419" w:rsidP="00A214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OSB İçi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5 Yıl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6 Yıl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7 Yıl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9 Yıl</w:t>
            </w:r>
          </w:p>
        </w:tc>
      </w:tr>
      <w:tr w:rsidR="00A21419" w:rsidRPr="00A21419" w:rsidTr="00A21419">
        <w:trPr>
          <w:trHeight w:val="305"/>
        </w:trPr>
        <w:tc>
          <w:tcPr>
            <w:tcW w:w="34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Yatırım Yeri Tahsisi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</w:tr>
      <w:tr w:rsidR="00A21419" w:rsidRPr="00A21419" w:rsidTr="00A21419">
        <w:trPr>
          <w:trHeight w:val="804"/>
        </w:trPr>
        <w:tc>
          <w:tcPr>
            <w:tcW w:w="18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Faiz Desteği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İç Kredi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3 puan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4 puan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5 puan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7 puan</w:t>
            </w:r>
          </w:p>
        </w:tc>
      </w:tr>
      <w:tr w:rsidR="00A21419" w:rsidRPr="00A21419" w:rsidTr="00A21419">
        <w:trPr>
          <w:trHeight w:val="8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419" w:rsidRPr="00A21419" w:rsidRDefault="00A21419" w:rsidP="00A214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Döviz</w:t>
            </w:r>
          </w:p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Kredisi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 puan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 puan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2 puan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2 puan</w:t>
            </w:r>
          </w:p>
        </w:tc>
      </w:tr>
      <w:tr w:rsidR="00A21419" w:rsidRPr="00A21419" w:rsidTr="00A21419">
        <w:trPr>
          <w:trHeight w:val="541"/>
        </w:trPr>
        <w:tc>
          <w:tcPr>
            <w:tcW w:w="34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Sigorta Primi İşçi Hissesi</w:t>
            </w:r>
          </w:p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Desteği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10 Yıl</w:t>
            </w:r>
          </w:p>
        </w:tc>
      </w:tr>
      <w:tr w:rsidR="00A21419" w:rsidRPr="00A21419" w:rsidTr="00A21419">
        <w:trPr>
          <w:trHeight w:val="482"/>
        </w:trPr>
        <w:tc>
          <w:tcPr>
            <w:tcW w:w="34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Gelir Vergisi Stopajı Desteği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10 Yıl</w:t>
            </w:r>
          </w:p>
        </w:tc>
      </w:tr>
    </w:tbl>
    <w:p w:rsidR="00A21419" w:rsidRPr="00A21419" w:rsidRDefault="00A21419" w:rsidP="00A21419">
      <w:pPr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A21419"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  <w:t> </w:t>
      </w:r>
    </w:p>
    <w:p w:rsidR="00607B5A" w:rsidRDefault="00607B5A" w:rsidP="00A21419">
      <w:pPr>
        <w:spacing w:after="0" w:line="225" w:lineRule="atLeast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tr-TR"/>
        </w:rPr>
      </w:pPr>
    </w:p>
    <w:p w:rsidR="00607B5A" w:rsidRDefault="00607B5A" w:rsidP="00A21419">
      <w:pPr>
        <w:spacing w:after="0" w:line="225" w:lineRule="atLeast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tr-TR"/>
        </w:rPr>
      </w:pPr>
    </w:p>
    <w:p w:rsidR="00A21419" w:rsidRPr="00847BAE" w:rsidRDefault="00A21419" w:rsidP="00A21419">
      <w:pPr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tr-TR"/>
        </w:rPr>
        <w:lastRenderedPageBreak/>
        <w:t>Öncelikli Yatırım Konuları</w:t>
      </w:r>
    </w:p>
    <w:p w:rsidR="00A21419" w:rsidRPr="00847BAE" w:rsidRDefault="00A21419" w:rsidP="00A21419">
      <w:pPr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Öncelikli Yatırım Konuları, VI. Bölge’de yapıldığı takdirde o bölgenin; diğer bölgelerin herhangi birisinde yapıldığı takdirde ise V. Bölge’nin desteklerinden yararlandırılmaktadır. Aşağıda Öncelikli Yatırım Konusu olarak belirlenen sektörler belirtilmiştir.</w:t>
      </w:r>
    </w:p>
    <w:p w:rsidR="00A21419" w:rsidRPr="00847BAE" w:rsidRDefault="00A21419" w:rsidP="00A21419">
      <w:pPr>
        <w:spacing w:after="0" w:line="225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1.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Denizyolu ile yük ve / veya yolcu taşımacılığına yönelik yatırımlar</w:t>
      </w:r>
    </w:p>
    <w:p w:rsidR="00A21419" w:rsidRPr="00847BAE" w:rsidRDefault="00A21419" w:rsidP="00A21419">
      <w:pPr>
        <w:spacing w:after="0" w:line="225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2.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Şehirlerarası yük ve / veya yolcu taşımacılığına yönelik demiryolu yatırımları ile şehir-içi yük taşımacılığına yönelik demiryolu yatırımları</w:t>
      </w:r>
    </w:p>
    <w:p w:rsidR="00A21419" w:rsidRPr="00847BAE" w:rsidRDefault="00A21419" w:rsidP="00A21419">
      <w:pPr>
        <w:spacing w:after="0" w:line="225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3.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Kültür ve turizm koruma ve gelişim bölgelerinde veya termal turizm konusunda bölgesel desteklerden yararlanabilecek nitelikteki turizm konaklama tesisleri</w:t>
      </w:r>
    </w:p>
    <w:p w:rsidR="00A21419" w:rsidRPr="00847BAE" w:rsidRDefault="00A21419" w:rsidP="00A21419">
      <w:pPr>
        <w:spacing w:after="0" w:line="225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4.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Asgari 50.000 m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vertAlign w:val="superscript"/>
          <w:lang w:eastAsia="tr-TR"/>
        </w:rPr>
        <w:t>2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 kapalı alana sahip uluslararası fuar yatırımları (konaklama ve alışveriş merkezi üniteleri hariç)</w:t>
      </w:r>
    </w:p>
    <w:p w:rsidR="00A21419" w:rsidRPr="00847BAE" w:rsidRDefault="00A21419" w:rsidP="00A21419">
      <w:pPr>
        <w:spacing w:after="0" w:line="225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5.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 xml:space="preserve">Asgari 20 milyon TL tutarındaki </w:t>
      </w:r>
      <w:proofErr w:type="spellStart"/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biyo</w:t>
      </w:r>
      <w:proofErr w:type="spellEnd"/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-teknoloji, onkoloji ilaçları ve kan ürünleri üretimine yönelik yatırımlar</w:t>
      </w:r>
    </w:p>
    <w:p w:rsidR="00A21419" w:rsidRPr="00847BAE" w:rsidRDefault="00A21419" w:rsidP="00A21419">
      <w:pPr>
        <w:spacing w:after="0" w:line="225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6.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Asgari 20 milyon TL tutarındaki savunma, havacılık ve uzay alanındaki yatırımlar</w:t>
      </w:r>
    </w:p>
    <w:p w:rsidR="00A21419" w:rsidRPr="00847BAE" w:rsidRDefault="00A21419" w:rsidP="00A21419">
      <w:pPr>
        <w:spacing w:after="0" w:line="225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7.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Maden istihraç yatırımları ve / veya işleme yatırımları (İstanbul hariç)</w:t>
      </w:r>
    </w:p>
    <w:p w:rsidR="00A21419" w:rsidRPr="00847BAE" w:rsidRDefault="00A21419" w:rsidP="00A21419">
      <w:pPr>
        <w:spacing w:after="0" w:line="225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8.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Kreş ve gündüz bakımevleri ile okul öncesi eğitim, ilk, orta ve lise yatırımları.</w:t>
      </w:r>
    </w:p>
    <w:p w:rsidR="00A21419" w:rsidRPr="00847BAE" w:rsidRDefault="00A21419" w:rsidP="00A21419">
      <w:pPr>
        <w:spacing w:after="0" w:line="225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9.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AR-GE projeleri neticesinde geliştirilen ürünlerin üretimine yönelik yatırımlar</w:t>
      </w:r>
    </w:p>
    <w:p w:rsidR="00A21419" w:rsidRPr="00847BAE" w:rsidRDefault="00A21419" w:rsidP="00A21419">
      <w:pPr>
        <w:spacing w:after="0" w:line="225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10.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Yıllık asgari 500 TEP (ton eşdeğeri petrol) enerji tüketimi olan mevcut imalat sanayi tesislerinde gerçekleştirilecek birim ürün başına en az %20 oranında enerji tasarrufu sağlayan ve yatırım geri dönüş süresi azami 5 yıl olan enerji verimliliğine yönelik yatırımlar</w:t>
      </w:r>
    </w:p>
    <w:p w:rsidR="00A21419" w:rsidRPr="00847BAE" w:rsidRDefault="00A21419" w:rsidP="00A21419">
      <w:pPr>
        <w:spacing w:after="0" w:line="225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11.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Atık ısı kaynaklı olarak,  bir tesisteki atık ısıdan geri kazanım yolu ile elektrik üretimine yönelik yatırımlar (doğalgaz hariç)</w:t>
      </w:r>
    </w:p>
    <w:p w:rsidR="00A21419" w:rsidRPr="00847BAE" w:rsidRDefault="00A21419" w:rsidP="00A21419">
      <w:pPr>
        <w:spacing w:after="0" w:line="225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12.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Asgari 50 milyon TL tutarındaki LNG yatırımları ve yeraltı doğalgaz depolama yatırımları</w:t>
      </w:r>
    </w:p>
    <w:p w:rsidR="00A21419" w:rsidRPr="00847BAE" w:rsidRDefault="00A21419" w:rsidP="00A21419">
      <w:pPr>
        <w:spacing w:after="0" w:line="225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13.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 xml:space="preserve">Motorlu kara taşıtları ana sanayinde gerçekleştirilecek asgari 300 milyon           TL tutarındaki yatırımlar ve asgari 75 milyon TL tutarındaki motor yatırımları ile asgari 20 milyon TL 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lastRenderedPageBreak/>
        <w:t>tutarındaki motor aksamları, aktarma organları / aksamları ve otomotiv elektroniğine yönelik yatırımlar</w:t>
      </w:r>
    </w:p>
    <w:p w:rsidR="00A21419" w:rsidRPr="00847BAE" w:rsidRDefault="00A21419" w:rsidP="00A21419">
      <w:pPr>
        <w:spacing w:after="0" w:line="225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14.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Maden Kanunu’nun 2. maddesinin 4-b grubunda yer alan madenlerin girdi olarak kullanıldığı elektrik üretimi yatırımları</w:t>
      </w:r>
    </w:p>
    <w:p w:rsidR="00A21419" w:rsidRPr="00847BAE" w:rsidRDefault="00A21419" w:rsidP="00A21419">
      <w:pPr>
        <w:spacing w:after="0" w:line="225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>15.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tr-TR"/>
        </w:rPr>
        <w:t>  </w:t>
      </w:r>
      <w:proofErr w:type="spellStart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>Karbon</w:t>
      </w:r>
      <w:proofErr w:type="spellEnd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 xml:space="preserve"> </w:t>
      </w:r>
      <w:proofErr w:type="spellStart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>elyaf</w:t>
      </w:r>
      <w:proofErr w:type="spellEnd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 xml:space="preserve"> </w:t>
      </w:r>
      <w:proofErr w:type="spellStart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>üretimine</w:t>
      </w:r>
      <w:proofErr w:type="spellEnd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 xml:space="preserve"> </w:t>
      </w:r>
      <w:proofErr w:type="spellStart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>veya</w:t>
      </w:r>
      <w:proofErr w:type="spellEnd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 xml:space="preserve"> </w:t>
      </w:r>
      <w:proofErr w:type="spellStart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>karbon</w:t>
      </w:r>
      <w:proofErr w:type="spellEnd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 xml:space="preserve"> </w:t>
      </w:r>
      <w:proofErr w:type="spellStart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>elyaf</w:t>
      </w:r>
      <w:proofErr w:type="spellEnd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 xml:space="preserve"> </w:t>
      </w:r>
      <w:proofErr w:type="spellStart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>üretimi</w:t>
      </w:r>
      <w:proofErr w:type="spellEnd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 xml:space="preserve"> </w:t>
      </w:r>
      <w:proofErr w:type="spellStart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>ile</w:t>
      </w:r>
      <w:proofErr w:type="spellEnd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 xml:space="preserve"> </w:t>
      </w:r>
      <w:proofErr w:type="spellStart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>birlikte</w:t>
      </w:r>
      <w:proofErr w:type="spellEnd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 xml:space="preserve"> </w:t>
      </w:r>
      <w:proofErr w:type="spellStart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>olmak</w:t>
      </w:r>
      <w:proofErr w:type="spellEnd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 xml:space="preserve"> </w:t>
      </w:r>
      <w:proofErr w:type="spellStart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>kaydıyla</w:t>
      </w:r>
      <w:proofErr w:type="spellEnd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 xml:space="preserve"> </w:t>
      </w:r>
      <w:proofErr w:type="spellStart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>karbon</w:t>
      </w:r>
      <w:proofErr w:type="spellEnd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 xml:space="preserve"> </w:t>
      </w:r>
      <w:proofErr w:type="spellStart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>elyaftan</w:t>
      </w:r>
      <w:proofErr w:type="spellEnd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 xml:space="preserve"> </w:t>
      </w:r>
      <w:proofErr w:type="spellStart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>mamul</w:t>
      </w:r>
      <w:proofErr w:type="spellEnd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 xml:space="preserve"> </w:t>
      </w:r>
      <w:proofErr w:type="spellStart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>kompozit</w:t>
      </w:r>
      <w:proofErr w:type="spellEnd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 xml:space="preserve"> </w:t>
      </w:r>
      <w:proofErr w:type="spellStart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>malzeme</w:t>
      </w:r>
      <w:proofErr w:type="spellEnd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 xml:space="preserve"> </w:t>
      </w:r>
      <w:proofErr w:type="spellStart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>üretimine</w:t>
      </w:r>
      <w:proofErr w:type="spellEnd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 xml:space="preserve"> </w:t>
      </w:r>
      <w:proofErr w:type="spellStart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>yönelik</w:t>
      </w:r>
      <w:proofErr w:type="spellEnd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 xml:space="preserve"> </w:t>
      </w:r>
      <w:proofErr w:type="spellStart"/>
      <w:r w:rsidRPr="00847BAE">
        <w:rPr>
          <w:rFonts w:ascii="Verdana" w:eastAsia="Times New Roman" w:hAnsi="Verdana" w:cs="Times New Roman"/>
          <w:color w:val="000000"/>
          <w:sz w:val="28"/>
          <w:szCs w:val="28"/>
          <w:lang w:val="en-GB" w:eastAsia="tr-TR"/>
        </w:rPr>
        <w:t>yatırımlar</w:t>
      </w:r>
      <w:proofErr w:type="spellEnd"/>
    </w:p>
    <w:p w:rsidR="00A21419" w:rsidRPr="00847BAE" w:rsidRDefault="00A21419" w:rsidP="00A21419">
      <w:pPr>
        <w:spacing w:after="0" w:line="270" w:lineRule="atLeast"/>
        <w:ind w:left="720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 </w:t>
      </w:r>
    </w:p>
    <w:p w:rsidR="00A21419" w:rsidRPr="00847BAE" w:rsidRDefault="00A21419" w:rsidP="00A21419">
      <w:pPr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tr-TR"/>
        </w:rPr>
        <w:t>Öncelikli Yatırım Konularından birinde 1 milyar TL ve üzerinde yatırım yapıldığı takdirde, V. Bölge için geçerli olan yatırıma katkı oranına 10 puan ilave yapılmaktadır.</w:t>
      </w:r>
    </w:p>
    <w:p w:rsidR="00A21419" w:rsidRPr="00847BAE" w:rsidRDefault="00A21419" w:rsidP="00A21419">
      <w:pPr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 </w:t>
      </w:r>
    </w:p>
    <w:p w:rsidR="00A21419" w:rsidRPr="00847BAE" w:rsidRDefault="00A21419" w:rsidP="00A21419">
      <w:pPr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tr-TR"/>
        </w:rPr>
        <w:t>C.  BÜYÜK ÖLÇEKLİ YATIRIMLAR     </w:t>
      </w:r>
    </w:p>
    <w:p w:rsidR="00A21419" w:rsidRPr="00847BAE" w:rsidRDefault="00A21419" w:rsidP="00A21419">
      <w:pPr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Aşağıda belirtilen sektörlerde ve parantez içinde belirtilen asgari yatırım tutarlarında gerçekleştirilen yatırımlar, </w:t>
      </w:r>
      <w:r w:rsidRPr="00847BAE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tr-TR"/>
        </w:rPr>
        <w:t>Büyük Ölçekli Yatırım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 olarak tanımlanmıştır. Büyük Ölçekli Yatırımlara sağlanan destek unsurları, bölgelere göre bir sonraki tabloda belirtilmiştir.</w:t>
      </w:r>
    </w:p>
    <w:p w:rsidR="00A21419" w:rsidRPr="00847BAE" w:rsidRDefault="00A21419" w:rsidP="00A21419">
      <w:pPr>
        <w:spacing w:after="0" w:line="225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Arial" w:eastAsia="Times New Roman" w:hAnsi="Arial" w:cs="Arial"/>
          <w:color w:val="000000"/>
          <w:sz w:val="28"/>
          <w:szCs w:val="28"/>
          <w:lang w:eastAsia="tr-TR"/>
        </w:rPr>
        <w:t>•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   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Rafine Edilmiş Petrol Ürünleri İmalatı (1 Milyar TL)</w:t>
      </w:r>
    </w:p>
    <w:p w:rsidR="00A21419" w:rsidRPr="00847BAE" w:rsidRDefault="00A21419" w:rsidP="00A21419">
      <w:pPr>
        <w:spacing w:after="0" w:line="225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Arial" w:eastAsia="Times New Roman" w:hAnsi="Arial" w:cs="Arial"/>
          <w:color w:val="000000"/>
          <w:sz w:val="28"/>
          <w:szCs w:val="28"/>
          <w:lang w:eastAsia="tr-TR"/>
        </w:rPr>
        <w:t>•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   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Kimyasal Madde ve Ürünlerin İmalatı (200 Milyon TL)</w:t>
      </w:r>
    </w:p>
    <w:p w:rsidR="00A21419" w:rsidRPr="00847BAE" w:rsidRDefault="00A21419" w:rsidP="00A21419">
      <w:pPr>
        <w:spacing w:after="0" w:line="225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Arial" w:eastAsia="Times New Roman" w:hAnsi="Arial" w:cs="Arial"/>
          <w:color w:val="000000"/>
          <w:sz w:val="28"/>
          <w:szCs w:val="28"/>
          <w:lang w:eastAsia="tr-TR"/>
        </w:rPr>
        <w:t>•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   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Liman ve Liman Hizmetleri Yatırımları (200 Milyon TL)</w:t>
      </w:r>
    </w:p>
    <w:p w:rsidR="00A21419" w:rsidRPr="00847BAE" w:rsidRDefault="00A21419" w:rsidP="00A21419">
      <w:pPr>
        <w:spacing w:after="0" w:line="225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Arial" w:eastAsia="Times New Roman" w:hAnsi="Arial" w:cs="Arial"/>
          <w:color w:val="000000"/>
          <w:sz w:val="28"/>
          <w:szCs w:val="28"/>
          <w:lang w:eastAsia="tr-TR"/>
        </w:rPr>
        <w:t>•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   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Motorlu Kara Taşıtlarının İmalatı</w:t>
      </w:r>
    </w:p>
    <w:p w:rsidR="00A21419" w:rsidRPr="00847BAE" w:rsidRDefault="00A21419" w:rsidP="00A21419">
      <w:pPr>
        <w:spacing w:after="0" w:line="225" w:lineRule="atLeast"/>
        <w:ind w:left="144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Wingdings" w:eastAsia="Times New Roman" w:hAnsi="Wingdings" w:cs="Times New Roman"/>
          <w:color w:val="000000"/>
          <w:sz w:val="28"/>
          <w:szCs w:val="28"/>
          <w:lang w:eastAsia="tr-TR"/>
        </w:rPr>
        <w:t>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Ana Sanayi (200 Milyon TL)</w:t>
      </w:r>
    </w:p>
    <w:p w:rsidR="00A21419" w:rsidRPr="00847BAE" w:rsidRDefault="00A21419" w:rsidP="00A21419">
      <w:pPr>
        <w:spacing w:after="0" w:line="225" w:lineRule="atLeast"/>
        <w:ind w:left="144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Wingdings" w:eastAsia="Times New Roman" w:hAnsi="Wingdings" w:cs="Times New Roman"/>
          <w:color w:val="000000"/>
          <w:sz w:val="28"/>
          <w:szCs w:val="28"/>
          <w:lang w:eastAsia="tr-TR"/>
        </w:rPr>
        <w:t>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Yan Sanayi (50 Milyon TL)</w:t>
      </w:r>
    </w:p>
    <w:p w:rsidR="00A21419" w:rsidRPr="00847BAE" w:rsidRDefault="00A21419" w:rsidP="00A21419">
      <w:pPr>
        <w:spacing w:after="0" w:line="225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Arial" w:eastAsia="Times New Roman" w:hAnsi="Arial" w:cs="Arial"/>
          <w:color w:val="000000"/>
          <w:sz w:val="28"/>
          <w:szCs w:val="28"/>
          <w:lang w:eastAsia="tr-TR"/>
        </w:rPr>
        <w:t>•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   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Demiryolu ve Tramvay Lokomotifleri ve / veya Vagon İmalatı (50 Milyon TL)</w:t>
      </w:r>
    </w:p>
    <w:p w:rsidR="00A21419" w:rsidRPr="00847BAE" w:rsidRDefault="00A21419" w:rsidP="00A21419">
      <w:pPr>
        <w:spacing w:after="0" w:line="225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Arial" w:eastAsia="Times New Roman" w:hAnsi="Arial" w:cs="Arial"/>
          <w:color w:val="000000"/>
          <w:sz w:val="28"/>
          <w:szCs w:val="28"/>
          <w:lang w:eastAsia="tr-TR"/>
        </w:rPr>
        <w:t>•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   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Transit Boru Hattıyla Taşımacılık Hizmetleri (50 Milyon TL)</w:t>
      </w:r>
    </w:p>
    <w:p w:rsidR="00A21419" w:rsidRPr="00847BAE" w:rsidRDefault="00A21419" w:rsidP="00A21419">
      <w:pPr>
        <w:spacing w:after="0" w:line="225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Arial" w:eastAsia="Times New Roman" w:hAnsi="Arial" w:cs="Arial"/>
          <w:color w:val="000000"/>
          <w:sz w:val="28"/>
          <w:szCs w:val="28"/>
          <w:lang w:eastAsia="tr-TR"/>
        </w:rPr>
        <w:t>•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   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Elektronik Sanayi (50 Milyon TL)</w:t>
      </w:r>
    </w:p>
    <w:p w:rsidR="00A21419" w:rsidRPr="00847BAE" w:rsidRDefault="00A21419" w:rsidP="00A21419">
      <w:pPr>
        <w:spacing w:after="0" w:line="225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Arial" w:eastAsia="Times New Roman" w:hAnsi="Arial" w:cs="Arial"/>
          <w:color w:val="000000"/>
          <w:sz w:val="28"/>
          <w:szCs w:val="28"/>
          <w:lang w:eastAsia="tr-TR"/>
        </w:rPr>
        <w:t>•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   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Tıbbi Alet, Hassas ve Optik Aletler İmalatı (50 Milyon TL)</w:t>
      </w:r>
    </w:p>
    <w:p w:rsidR="00A21419" w:rsidRPr="00847BAE" w:rsidRDefault="00A21419" w:rsidP="00A21419">
      <w:pPr>
        <w:spacing w:after="0" w:line="225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Arial" w:eastAsia="Times New Roman" w:hAnsi="Arial" w:cs="Arial"/>
          <w:color w:val="000000"/>
          <w:sz w:val="28"/>
          <w:szCs w:val="28"/>
          <w:lang w:eastAsia="tr-TR"/>
        </w:rPr>
        <w:t>•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   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İlaç Üretimi (50 Milyon TL)</w:t>
      </w:r>
    </w:p>
    <w:p w:rsidR="00A21419" w:rsidRPr="00847BAE" w:rsidRDefault="00A21419" w:rsidP="00A21419">
      <w:pPr>
        <w:spacing w:after="0" w:line="225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Arial" w:eastAsia="Times New Roman" w:hAnsi="Arial" w:cs="Arial"/>
          <w:color w:val="000000"/>
          <w:sz w:val="28"/>
          <w:szCs w:val="28"/>
          <w:lang w:eastAsia="tr-TR"/>
        </w:rPr>
        <w:t>•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   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Hava ve Uzay Taşıtları ve Parçaları İmalatı (50 Milyon TL)</w:t>
      </w:r>
    </w:p>
    <w:p w:rsidR="00A21419" w:rsidRPr="00847BAE" w:rsidRDefault="00A21419" w:rsidP="00A21419">
      <w:pPr>
        <w:spacing w:after="0" w:line="225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Arial" w:eastAsia="Times New Roman" w:hAnsi="Arial" w:cs="Arial"/>
          <w:color w:val="000000"/>
          <w:sz w:val="28"/>
          <w:szCs w:val="28"/>
          <w:lang w:eastAsia="tr-TR"/>
        </w:rPr>
        <w:lastRenderedPageBreak/>
        <w:t>•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   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Makine / Elektrikli Makine İmalatı (50 Milyon TL)</w:t>
      </w:r>
    </w:p>
    <w:p w:rsidR="00A21419" w:rsidRPr="00847BAE" w:rsidRDefault="00A21419" w:rsidP="00A21419">
      <w:pPr>
        <w:spacing w:after="0" w:line="225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Arial" w:eastAsia="Times New Roman" w:hAnsi="Arial" w:cs="Arial"/>
          <w:color w:val="000000"/>
          <w:sz w:val="28"/>
          <w:szCs w:val="28"/>
          <w:lang w:eastAsia="tr-TR"/>
        </w:rPr>
        <w:t>•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   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Metal Üretimine Yönelik Yatırımlar (50 Milyon TL)</w:t>
      </w:r>
    </w:p>
    <w:p w:rsidR="00A21419" w:rsidRPr="00A21419" w:rsidRDefault="00A21419" w:rsidP="00A2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47BAE">
        <w:rPr>
          <w:rFonts w:ascii="Verdana" w:eastAsia="Times New Roman" w:hAnsi="Verdana" w:cs="Times New Roman"/>
          <w:color w:val="202020"/>
          <w:sz w:val="28"/>
          <w:szCs w:val="28"/>
          <w:lang w:eastAsia="tr-TR"/>
        </w:rPr>
        <w:br w:type="textWrapping" w:clear="all"/>
      </w:r>
    </w:p>
    <w:tbl>
      <w:tblPr>
        <w:tblW w:w="12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4"/>
        <w:gridCol w:w="1631"/>
        <w:gridCol w:w="1612"/>
        <w:gridCol w:w="1612"/>
        <w:gridCol w:w="1554"/>
        <w:gridCol w:w="1554"/>
        <w:gridCol w:w="1554"/>
        <w:gridCol w:w="1554"/>
      </w:tblGrid>
      <w:tr w:rsidR="00A21419" w:rsidRPr="00A21419" w:rsidTr="00A21419">
        <w:trPr>
          <w:trHeight w:val="889"/>
        </w:trPr>
        <w:tc>
          <w:tcPr>
            <w:tcW w:w="3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tr-TR"/>
              </w:rPr>
              <w:t>Destek Unsurları</w:t>
            </w:r>
          </w:p>
        </w:tc>
        <w:tc>
          <w:tcPr>
            <w:tcW w:w="16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tr-TR"/>
              </w:rPr>
              <w:t>I. Bölge</w:t>
            </w:r>
          </w:p>
        </w:tc>
        <w:tc>
          <w:tcPr>
            <w:tcW w:w="16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tr-TR"/>
              </w:rPr>
              <w:t>II. Bölge</w:t>
            </w:r>
          </w:p>
        </w:tc>
        <w:tc>
          <w:tcPr>
            <w:tcW w:w="1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tr-TR"/>
              </w:rPr>
              <w:t>III. Bölge</w:t>
            </w:r>
          </w:p>
        </w:tc>
        <w:tc>
          <w:tcPr>
            <w:tcW w:w="1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tr-TR"/>
              </w:rPr>
              <w:t>IV. Bölge</w:t>
            </w:r>
          </w:p>
        </w:tc>
        <w:tc>
          <w:tcPr>
            <w:tcW w:w="1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tr-TR"/>
              </w:rPr>
              <w:t>V. Bölge</w:t>
            </w:r>
          </w:p>
        </w:tc>
        <w:tc>
          <w:tcPr>
            <w:tcW w:w="1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tr-TR"/>
              </w:rPr>
              <w:t>VI. Bölge</w:t>
            </w:r>
          </w:p>
        </w:tc>
      </w:tr>
      <w:tr w:rsidR="00A21419" w:rsidRPr="00A21419" w:rsidTr="00A21419">
        <w:trPr>
          <w:trHeight w:val="280"/>
        </w:trPr>
        <w:tc>
          <w:tcPr>
            <w:tcW w:w="34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KDV İstisnası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</w:tr>
      <w:tr w:rsidR="00A21419" w:rsidRPr="00A21419" w:rsidTr="00A21419">
        <w:trPr>
          <w:trHeight w:val="296"/>
        </w:trPr>
        <w:tc>
          <w:tcPr>
            <w:tcW w:w="34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Gümrük Vergisi Muafiyeti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</w:tr>
      <w:tr w:rsidR="00A21419" w:rsidRPr="00A21419" w:rsidTr="00A21419">
        <w:trPr>
          <w:trHeight w:val="591"/>
        </w:trPr>
        <w:tc>
          <w:tcPr>
            <w:tcW w:w="18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Yatırıma Katkı Oranı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OSB Dışı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%20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%25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%30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%35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%40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%45</w:t>
            </w:r>
          </w:p>
        </w:tc>
      </w:tr>
      <w:tr w:rsidR="00A21419" w:rsidRPr="00A21419" w:rsidTr="00A21419">
        <w:trPr>
          <w:trHeight w:val="4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419" w:rsidRPr="00A21419" w:rsidRDefault="00A21419" w:rsidP="00A214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OSB İçi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%25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%30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%35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%40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%45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%50</w:t>
            </w:r>
          </w:p>
        </w:tc>
      </w:tr>
      <w:tr w:rsidR="00A21419" w:rsidRPr="00A21419" w:rsidTr="00A21419">
        <w:trPr>
          <w:trHeight w:val="740"/>
        </w:trPr>
        <w:tc>
          <w:tcPr>
            <w:tcW w:w="18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Sigorta Primi İşveren Hissesi Desteği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OSB Dışı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3 Yıl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5 Yıl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6 Yıl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7 Yıl</w:t>
            </w:r>
          </w:p>
        </w:tc>
      </w:tr>
      <w:tr w:rsidR="00A21419" w:rsidRPr="00A21419" w:rsidTr="00A21419">
        <w:trPr>
          <w:trHeight w:val="8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419" w:rsidRPr="00A21419" w:rsidRDefault="00A21419" w:rsidP="00A214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OSB İçi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5 Yıl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6 Yıl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7 Yıl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9 Yıl</w:t>
            </w:r>
          </w:p>
        </w:tc>
      </w:tr>
      <w:tr w:rsidR="00A21419" w:rsidRPr="00A21419" w:rsidTr="00A21419">
        <w:trPr>
          <w:trHeight w:val="280"/>
        </w:trPr>
        <w:tc>
          <w:tcPr>
            <w:tcW w:w="34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Yatırım Yeri Tahsisi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</w:tr>
      <w:tr w:rsidR="00A21419" w:rsidRPr="00A21419" w:rsidTr="00A21419">
        <w:trPr>
          <w:trHeight w:val="739"/>
        </w:trPr>
        <w:tc>
          <w:tcPr>
            <w:tcW w:w="18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Faiz Desteği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İç Kredi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</w:tr>
      <w:tr w:rsidR="00A21419" w:rsidRPr="00A21419" w:rsidTr="00A21419">
        <w:trPr>
          <w:trHeight w:val="7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419" w:rsidRPr="00A21419" w:rsidRDefault="00A21419" w:rsidP="00A214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Döviz</w:t>
            </w:r>
          </w:p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Kredisi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</w:tr>
      <w:tr w:rsidR="00A21419" w:rsidRPr="00A21419" w:rsidTr="00A21419">
        <w:trPr>
          <w:trHeight w:val="498"/>
        </w:trPr>
        <w:tc>
          <w:tcPr>
            <w:tcW w:w="34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Sigorta Primi İşçi Hissesi</w:t>
            </w:r>
          </w:p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Desteği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10 Yıl</w:t>
            </w:r>
          </w:p>
        </w:tc>
      </w:tr>
      <w:tr w:rsidR="00A21419" w:rsidRPr="00A21419" w:rsidTr="00A21419">
        <w:trPr>
          <w:trHeight w:val="443"/>
        </w:trPr>
        <w:tc>
          <w:tcPr>
            <w:tcW w:w="34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Gelir Vergisi Stopajı Desteği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YOK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25" w:lineRule="atLeast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10 Yıl</w:t>
            </w:r>
          </w:p>
        </w:tc>
      </w:tr>
    </w:tbl>
    <w:p w:rsidR="00A21419" w:rsidRPr="00A21419" w:rsidRDefault="00A21419" w:rsidP="00A21419">
      <w:pPr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A21419"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  <w:t> </w:t>
      </w:r>
    </w:p>
    <w:p w:rsidR="00607B5A" w:rsidRDefault="00607B5A" w:rsidP="00A21419">
      <w:pPr>
        <w:spacing w:after="0" w:line="225" w:lineRule="atLeast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A21419" w:rsidRPr="00847BAE" w:rsidRDefault="00A21419" w:rsidP="00A21419">
      <w:pPr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tr-TR"/>
        </w:rPr>
        <w:lastRenderedPageBreak/>
        <w:t>D.  STRATEJİK YATIRIMLAR     </w:t>
      </w:r>
    </w:p>
    <w:p w:rsidR="00A21419" w:rsidRPr="00847BAE" w:rsidRDefault="00A21419" w:rsidP="00A21419">
      <w:pPr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Yatırım Teşvik Sistemi çerçevesinde, aşağıda belirtilen şartları aynı anda sağlayan yatırımlar Stratejik Yatırım olarak tanımlanmaktadır.</w:t>
      </w:r>
    </w:p>
    <w:p w:rsidR="00A21419" w:rsidRPr="00847BAE" w:rsidRDefault="00A21419" w:rsidP="00A21419">
      <w:pPr>
        <w:spacing w:after="0" w:line="225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Wingdings" w:eastAsia="Times New Roman" w:hAnsi="Wingdings" w:cs="Times New Roman"/>
          <w:color w:val="000000"/>
          <w:sz w:val="28"/>
          <w:szCs w:val="28"/>
          <w:lang w:eastAsia="tr-TR"/>
        </w:rPr>
        <w:t>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Asgari sabit yatırım tutarının 50 Milyon TL’nin üzerinde olması</w:t>
      </w:r>
    </w:p>
    <w:p w:rsidR="00A21419" w:rsidRPr="00847BAE" w:rsidRDefault="00A21419" w:rsidP="00A21419">
      <w:pPr>
        <w:spacing w:after="0" w:line="225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Wingdings" w:eastAsia="Times New Roman" w:hAnsi="Wingdings" w:cs="Times New Roman"/>
          <w:color w:val="000000"/>
          <w:sz w:val="28"/>
          <w:szCs w:val="28"/>
          <w:lang w:eastAsia="tr-TR"/>
        </w:rPr>
        <w:t>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Yatırım konusu ürünle ilgili yurtiçi toplam üretim kapasitesinin ithalattan az olması</w:t>
      </w:r>
    </w:p>
    <w:p w:rsidR="00A21419" w:rsidRPr="00847BAE" w:rsidRDefault="00A21419" w:rsidP="00A21419">
      <w:pPr>
        <w:spacing w:after="0" w:line="225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Wingdings" w:eastAsia="Times New Roman" w:hAnsi="Wingdings" w:cs="Times New Roman"/>
          <w:color w:val="000000"/>
          <w:sz w:val="28"/>
          <w:szCs w:val="28"/>
          <w:lang w:eastAsia="tr-TR"/>
        </w:rPr>
        <w:t>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Yatırımla sağlanacak katma değerin asgari %40 olması</w:t>
      </w:r>
    </w:p>
    <w:p w:rsidR="00A21419" w:rsidRPr="00847BAE" w:rsidRDefault="00A21419" w:rsidP="00A21419">
      <w:pPr>
        <w:spacing w:after="0" w:line="225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Wingdings" w:eastAsia="Times New Roman" w:hAnsi="Wingdings" w:cs="Times New Roman"/>
          <w:color w:val="000000"/>
          <w:sz w:val="28"/>
          <w:szCs w:val="28"/>
          <w:lang w:eastAsia="tr-TR"/>
        </w:rPr>
        <w:t></w:t>
      </w:r>
      <w:r w:rsidRPr="00847BA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</w:t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Yatırım konusu ürünler ile ilgili olarak son 1 yıl içerisinde gerçekleşen toplam ithalat tutarının 50 milyon TL’nin üzerinde olması</w:t>
      </w:r>
    </w:p>
    <w:p w:rsidR="00A21419" w:rsidRDefault="00A21419" w:rsidP="00A21419">
      <w:pPr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Stratejik Yatırımlara sağlanan destek unsurları aşağıdaki tablo verilmiştir:</w:t>
      </w:r>
    </w:p>
    <w:p w:rsidR="00847BAE" w:rsidRPr="00847BAE" w:rsidRDefault="00847BAE" w:rsidP="00A21419">
      <w:pPr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</w:p>
    <w:tbl>
      <w:tblPr>
        <w:tblW w:w="0" w:type="auto"/>
        <w:jc w:val="center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2"/>
        <w:gridCol w:w="1984"/>
        <w:gridCol w:w="3528"/>
      </w:tblGrid>
      <w:tr w:rsidR="00A21419" w:rsidRPr="00A21419" w:rsidTr="00A21419">
        <w:trPr>
          <w:trHeight w:val="567"/>
          <w:jc w:val="center"/>
        </w:trPr>
        <w:tc>
          <w:tcPr>
            <w:tcW w:w="4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tr-TR"/>
              </w:rPr>
              <w:t>Destek Unsurları</w:t>
            </w:r>
          </w:p>
        </w:tc>
        <w:tc>
          <w:tcPr>
            <w:tcW w:w="3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A21419" w:rsidRPr="00A21419" w:rsidTr="00A21419">
        <w:trPr>
          <w:trHeight w:val="454"/>
          <w:jc w:val="center"/>
        </w:trPr>
        <w:tc>
          <w:tcPr>
            <w:tcW w:w="44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70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KDV İstisnası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</w:tr>
      <w:tr w:rsidR="00A21419" w:rsidRPr="00A21419" w:rsidTr="00A21419">
        <w:trPr>
          <w:trHeight w:val="454"/>
          <w:jc w:val="center"/>
        </w:trPr>
        <w:tc>
          <w:tcPr>
            <w:tcW w:w="44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70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Gümrük Vergisi Muafiyeti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</w:tr>
      <w:tr w:rsidR="00A21419" w:rsidRPr="00A21419" w:rsidTr="00A21419">
        <w:trPr>
          <w:trHeight w:val="1237"/>
          <w:jc w:val="center"/>
        </w:trPr>
        <w:tc>
          <w:tcPr>
            <w:tcW w:w="44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70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Yatırıma Katkı Oranı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%50</w:t>
            </w:r>
          </w:p>
        </w:tc>
      </w:tr>
      <w:tr w:rsidR="00A21419" w:rsidRPr="00A21419" w:rsidTr="00A21419">
        <w:trPr>
          <w:trHeight w:val="1150"/>
          <w:jc w:val="center"/>
        </w:trPr>
        <w:tc>
          <w:tcPr>
            <w:tcW w:w="44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70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Sigorta Primi İşveren Hissesi Desteği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7 yıl</w:t>
            </w:r>
          </w:p>
          <w:p w:rsidR="00A21419" w:rsidRPr="00A21419" w:rsidRDefault="00A21419" w:rsidP="00A21419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(6. Bölge’de 10 Yıl)</w:t>
            </w:r>
          </w:p>
        </w:tc>
      </w:tr>
      <w:tr w:rsidR="00A21419" w:rsidRPr="00A21419" w:rsidTr="00A21419">
        <w:trPr>
          <w:trHeight w:val="454"/>
          <w:jc w:val="center"/>
        </w:trPr>
        <w:tc>
          <w:tcPr>
            <w:tcW w:w="44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70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Yatırım Yeri Tahsisi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</w:t>
            </w:r>
          </w:p>
        </w:tc>
      </w:tr>
      <w:tr w:rsidR="00A21419" w:rsidRPr="00A21419" w:rsidTr="00A21419">
        <w:trPr>
          <w:trHeight w:val="488"/>
          <w:jc w:val="center"/>
        </w:trPr>
        <w:tc>
          <w:tcPr>
            <w:tcW w:w="24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70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Faiz Desteği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70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İç Kredi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5 puan</w:t>
            </w:r>
          </w:p>
        </w:tc>
      </w:tr>
      <w:tr w:rsidR="00A21419" w:rsidRPr="00A21419" w:rsidTr="00A21419">
        <w:trPr>
          <w:trHeight w:val="48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419" w:rsidRPr="00A21419" w:rsidRDefault="00A21419" w:rsidP="00A214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70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Döviz Kredisi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2 puan</w:t>
            </w:r>
          </w:p>
        </w:tc>
      </w:tr>
      <w:tr w:rsidR="00A21419" w:rsidRPr="00A21419" w:rsidTr="00A21419">
        <w:trPr>
          <w:trHeight w:val="454"/>
          <w:jc w:val="center"/>
        </w:trPr>
        <w:tc>
          <w:tcPr>
            <w:tcW w:w="44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70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lastRenderedPageBreak/>
              <w:t>Sigorta Primi İşçi Hissesi Desteği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10 Yıl (Sadece 6. Bölge için)</w:t>
            </w:r>
          </w:p>
        </w:tc>
      </w:tr>
      <w:tr w:rsidR="00A21419" w:rsidRPr="00A21419" w:rsidTr="00A21419">
        <w:trPr>
          <w:trHeight w:val="454"/>
          <w:jc w:val="center"/>
        </w:trPr>
        <w:tc>
          <w:tcPr>
            <w:tcW w:w="44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70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Gelir Vergisi Stopajı Desteği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10 Yıl (Sadece 6. Bölge için)</w:t>
            </w:r>
          </w:p>
        </w:tc>
      </w:tr>
      <w:tr w:rsidR="00A21419" w:rsidRPr="00A21419" w:rsidTr="00A21419">
        <w:trPr>
          <w:trHeight w:val="454"/>
          <w:jc w:val="center"/>
        </w:trPr>
        <w:tc>
          <w:tcPr>
            <w:tcW w:w="44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70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KDV İadesi (Bina- İnşaat Yatırımları)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419" w:rsidRPr="00A21419" w:rsidRDefault="00A21419" w:rsidP="00A21419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A2141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 (Sadece 500 Milyon TL üzeri yatırımlar için)</w:t>
            </w:r>
          </w:p>
        </w:tc>
      </w:tr>
    </w:tbl>
    <w:p w:rsidR="00A21419" w:rsidRPr="00A21419" w:rsidRDefault="00A21419" w:rsidP="00A21419">
      <w:pPr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A21419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 </w:t>
      </w:r>
    </w:p>
    <w:p w:rsidR="00A21419" w:rsidRPr="00847BAE" w:rsidRDefault="00A21419" w:rsidP="00A21419">
      <w:pPr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tr-TR"/>
        </w:rPr>
        <w:t>YÜRÜTÜCÜ KURULUŞ</w:t>
      </w:r>
    </w:p>
    <w:p w:rsidR="00A21419" w:rsidRPr="00847BAE" w:rsidRDefault="00A21419" w:rsidP="00A21419">
      <w:pPr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Ekonomi Bakanlığı – Teşvik Uygulama ve Yabancı Sermaye Genel Müdürlüğü</w:t>
      </w:r>
    </w:p>
    <w:p w:rsidR="00A21419" w:rsidRPr="00847BAE" w:rsidRDefault="00A21419" w:rsidP="00A21419">
      <w:pPr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tr-TR"/>
        </w:rPr>
        <w:t>BAŞVURU MERCİ</w:t>
      </w:r>
    </w:p>
    <w:p w:rsidR="00A21419" w:rsidRPr="00847BAE" w:rsidRDefault="00A21419" w:rsidP="00A21419">
      <w:pPr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Ekonomi Bakanlığı – Teşvik Uygulama ve Yabancı Sermaye Genel Müdürlüğü</w:t>
      </w:r>
    </w:p>
    <w:p w:rsidR="00CB4187" w:rsidRPr="00847BAE" w:rsidRDefault="00A21419" w:rsidP="000A6F71">
      <w:pPr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>Sadece Genel Teşvik Sistemi kapsamındaki ve 10 milyon TL’yi aşmayan yatırımlar için Sanayi Odaları veya Kalkınma Ajanslarına da başvuru yapılabilir.</w:t>
      </w:r>
    </w:p>
    <w:p w:rsidR="00212859" w:rsidRPr="00847BAE" w:rsidRDefault="00212859" w:rsidP="000A6F71">
      <w:pPr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</w:p>
    <w:p w:rsidR="00212859" w:rsidRPr="00847BAE" w:rsidRDefault="00212859" w:rsidP="000A6F71">
      <w:pPr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ab/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ab/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ab/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ab/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ab/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ab/>
      </w:r>
    </w:p>
    <w:p w:rsidR="00212859" w:rsidRPr="00847BAE" w:rsidRDefault="00212859" w:rsidP="000A6F71">
      <w:pPr>
        <w:spacing w:after="0" w:line="225" w:lineRule="atLeast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ab/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ab/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ab/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ab/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ab/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ab/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ab/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ab/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ab/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ab/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ab/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ab/>
      </w:r>
      <w:r w:rsidRPr="00847BAE">
        <w:rPr>
          <w:rFonts w:ascii="Verdana" w:eastAsia="Times New Roman" w:hAnsi="Verdana" w:cs="Times New Roman"/>
          <w:color w:val="000000"/>
          <w:sz w:val="28"/>
          <w:szCs w:val="28"/>
          <w:lang w:eastAsia="tr-TR"/>
        </w:rPr>
        <w:tab/>
      </w:r>
      <w:r w:rsidRPr="00847BAE">
        <w:rPr>
          <w:rFonts w:ascii="Verdana" w:eastAsia="Times New Roman" w:hAnsi="Verdana" w:cs="Times New Roman"/>
          <w:b/>
          <w:color w:val="000000"/>
          <w:sz w:val="28"/>
          <w:szCs w:val="28"/>
          <w:lang w:eastAsia="tr-TR"/>
        </w:rPr>
        <w:t>İNAN GAYRİMENKUL</w:t>
      </w:r>
    </w:p>
    <w:p w:rsidR="00212859" w:rsidRPr="00847BAE" w:rsidRDefault="00212859" w:rsidP="000A6F71">
      <w:pPr>
        <w:spacing w:after="0" w:line="225" w:lineRule="atLeast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tr-TR"/>
        </w:rPr>
      </w:pPr>
      <w:r w:rsidRPr="00847BAE">
        <w:rPr>
          <w:rFonts w:ascii="Verdana" w:eastAsia="Times New Roman" w:hAnsi="Verdana" w:cs="Times New Roman"/>
          <w:b/>
          <w:color w:val="000000"/>
          <w:sz w:val="28"/>
          <w:szCs w:val="28"/>
          <w:lang w:eastAsia="tr-TR"/>
        </w:rPr>
        <w:tab/>
      </w:r>
      <w:r w:rsidRPr="00847BAE">
        <w:rPr>
          <w:rFonts w:ascii="Verdana" w:eastAsia="Times New Roman" w:hAnsi="Verdana" w:cs="Times New Roman"/>
          <w:b/>
          <w:color w:val="000000"/>
          <w:sz w:val="28"/>
          <w:szCs w:val="28"/>
          <w:lang w:eastAsia="tr-TR"/>
        </w:rPr>
        <w:tab/>
      </w:r>
      <w:r w:rsidRPr="00847BAE">
        <w:rPr>
          <w:rFonts w:ascii="Verdana" w:eastAsia="Times New Roman" w:hAnsi="Verdana" w:cs="Times New Roman"/>
          <w:b/>
          <w:color w:val="000000"/>
          <w:sz w:val="28"/>
          <w:szCs w:val="28"/>
          <w:lang w:eastAsia="tr-TR"/>
        </w:rPr>
        <w:tab/>
      </w:r>
      <w:r w:rsidRPr="00847BAE">
        <w:rPr>
          <w:rFonts w:ascii="Verdana" w:eastAsia="Times New Roman" w:hAnsi="Verdana" w:cs="Times New Roman"/>
          <w:b/>
          <w:color w:val="000000"/>
          <w:sz w:val="28"/>
          <w:szCs w:val="28"/>
          <w:lang w:eastAsia="tr-TR"/>
        </w:rPr>
        <w:tab/>
      </w:r>
      <w:r w:rsidRPr="00847BAE">
        <w:rPr>
          <w:rFonts w:ascii="Verdana" w:eastAsia="Times New Roman" w:hAnsi="Verdana" w:cs="Times New Roman"/>
          <w:b/>
          <w:color w:val="000000"/>
          <w:sz w:val="28"/>
          <w:szCs w:val="28"/>
          <w:lang w:eastAsia="tr-TR"/>
        </w:rPr>
        <w:tab/>
      </w:r>
      <w:r w:rsidRPr="00847BAE">
        <w:rPr>
          <w:rFonts w:ascii="Verdana" w:eastAsia="Times New Roman" w:hAnsi="Verdana" w:cs="Times New Roman"/>
          <w:b/>
          <w:color w:val="000000"/>
          <w:sz w:val="28"/>
          <w:szCs w:val="28"/>
          <w:lang w:eastAsia="tr-TR"/>
        </w:rPr>
        <w:tab/>
      </w:r>
      <w:r w:rsidRPr="00847BAE">
        <w:rPr>
          <w:rFonts w:ascii="Verdana" w:eastAsia="Times New Roman" w:hAnsi="Verdana" w:cs="Times New Roman"/>
          <w:b/>
          <w:color w:val="000000"/>
          <w:sz w:val="28"/>
          <w:szCs w:val="28"/>
          <w:lang w:eastAsia="tr-TR"/>
        </w:rPr>
        <w:tab/>
      </w:r>
      <w:r w:rsidRPr="00847BAE">
        <w:rPr>
          <w:rFonts w:ascii="Verdana" w:eastAsia="Times New Roman" w:hAnsi="Verdana" w:cs="Times New Roman"/>
          <w:b/>
          <w:color w:val="000000"/>
          <w:sz w:val="28"/>
          <w:szCs w:val="28"/>
          <w:lang w:eastAsia="tr-TR"/>
        </w:rPr>
        <w:tab/>
      </w:r>
      <w:r w:rsidRPr="00847BAE">
        <w:rPr>
          <w:rFonts w:ascii="Verdana" w:eastAsia="Times New Roman" w:hAnsi="Verdana" w:cs="Times New Roman"/>
          <w:b/>
          <w:color w:val="000000"/>
          <w:sz w:val="28"/>
          <w:szCs w:val="28"/>
          <w:lang w:eastAsia="tr-TR"/>
        </w:rPr>
        <w:tab/>
      </w:r>
      <w:r w:rsidRPr="00847BAE">
        <w:rPr>
          <w:rFonts w:ascii="Verdana" w:eastAsia="Times New Roman" w:hAnsi="Verdana" w:cs="Times New Roman"/>
          <w:b/>
          <w:color w:val="000000"/>
          <w:sz w:val="28"/>
          <w:szCs w:val="28"/>
          <w:lang w:eastAsia="tr-TR"/>
        </w:rPr>
        <w:tab/>
      </w:r>
      <w:r w:rsidRPr="00847BAE">
        <w:rPr>
          <w:rFonts w:ascii="Verdana" w:eastAsia="Times New Roman" w:hAnsi="Verdana" w:cs="Times New Roman"/>
          <w:b/>
          <w:color w:val="000000"/>
          <w:sz w:val="28"/>
          <w:szCs w:val="28"/>
          <w:lang w:eastAsia="tr-TR"/>
        </w:rPr>
        <w:tab/>
      </w:r>
      <w:r w:rsidRPr="00847BAE">
        <w:rPr>
          <w:rFonts w:ascii="Verdana" w:eastAsia="Times New Roman" w:hAnsi="Verdana" w:cs="Times New Roman"/>
          <w:b/>
          <w:color w:val="000000"/>
          <w:sz w:val="28"/>
          <w:szCs w:val="28"/>
          <w:lang w:eastAsia="tr-TR"/>
        </w:rPr>
        <w:tab/>
      </w:r>
      <w:r w:rsidRPr="00847BAE">
        <w:rPr>
          <w:rFonts w:ascii="Verdana" w:eastAsia="Times New Roman" w:hAnsi="Verdana" w:cs="Times New Roman"/>
          <w:b/>
          <w:color w:val="000000"/>
          <w:sz w:val="28"/>
          <w:szCs w:val="28"/>
          <w:lang w:eastAsia="tr-TR"/>
        </w:rPr>
        <w:tab/>
        <w:t>YATIRIM DANIŞMANINIZ</w:t>
      </w:r>
      <w:proofErr w:type="gramStart"/>
      <w:r w:rsidRPr="00847BAE">
        <w:rPr>
          <w:rFonts w:ascii="Verdana" w:eastAsia="Times New Roman" w:hAnsi="Verdana" w:cs="Times New Roman"/>
          <w:b/>
          <w:color w:val="000000"/>
          <w:sz w:val="28"/>
          <w:szCs w:val="28"/>
          <w:lang w:eastAsia="tr-TR"/>
        </w:rPr>
        <w:t>…..</w:t>
      </w:r>
      <w:proofErr w:type="gramEnd"/>
    </w:p>
    <w:sectPr w:rsidR="00212859" w:rsidRPr="00847BAE" w:rsidSect="00A214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19"/>
    <w:rsid w:val="000671B3"/>
    <w:rsid w:val="000A6F71"/>
    <w:rsid w:val="000E1A12"/>
    <w:rsid w:val="00212859"/>
    <w:rsid w:val="002B53BF"/>
    <w:rsid w:val="00607B5A"/>
    <w:rsid w:val="007532BF"/>
    <w:rsid w:val="00847BAE"/>
    <w:rsid w:val="00A21419"/>
    <w:rsid w:val="00A32539"/>
    <w:rsid w:val="00B274D1"/>
    <w:rsid w:val="00CB4187"/>
    <w:rsid w:val="00F8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21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1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21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1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2018-03-02T13:53:00Z</dcterms:created>
  <dcterms:modified xsi:type="dcterms:W3CDTF">2018-09-17T09:13:00Z</dcterms:modified>
</cp:coreProperties>
</file>