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E80" w:rsidRPr="00625E80" w:rsidRDefault="00625E80" w:rsidP="00625E80">
      <w:pPr>
        <w:spacing w:after="150" w:line="312" w:lineRule="atLeast"/>
        <w:outlineLvl w:val="0"/>
        <w:rPr>
          <w:rFonts w:ascii="Titillium Web" w:eastAsia="Times New Roman" w:hAnsi="Titillium Web" w:cs="Times New Roman"/>
          <w:b/>
          <w:bCs/>
          <w:color w:val="40454D"/>
          <w:kern w:val="36"/>
          <w:sz w:val="36"/>
          <w:szCs w:val="36"/>
          <w:lang w:eastAsia="tr-TR"/>
        </w:rPr>
      </w:pPr>
      <w:r w:rsidRPr="00625E80">
        <w:rPr>
          <w:rFonts w:ascii="Titillium Web" w:eastAsia="Times New Roman" w:hAnsi="Titillium Web" w:cs="Times New Roman"/>
          <w:b/>
          <w:bCs/>
          <w:color w:val="40454D"/>
          <w:kern w:val="36"/>
          <w:sz w:val="36"/>
          <w:szCs w:val="36"/>
          <w:lang w:eastAsia="tr-TR"/>
        </w:rPr>
        <w:t>Kar Payı Avansı Dağıtımı</w:t>
      </w:r>
    </w:p>
    <w:p w:rsidR="00625E80" w:rsidRPr="00625E80" w:rsidRDefault="00625E80" w:rsidP="00625E80">
      <w:pPr>
        <w:spacing w:after="150" w:line="312" w:lineRule="atLeast"/>
        <w:jc w:val="both"/>
        <w:outlineLvl w:val="3"/>
        <w:rPr>
          <w:rFonts w:ascii="Times New Roman" w:eastAsia="Times New Roman" w:hAnsi="Times New Roman" w:cs="Times New Roman"/>
          <w:b/>
          <w:bCs/>
          <w:color w:val="40454D"/>
          <w:sz w:val="28"/>
          <w:szCs w:val="28"/>
          <w:lang w:eastAsia="tr-TR"/>
        </w:rPr>
      </w:pPr>
      <w:r w:rsidRPr="00625E80">
        <w:rPr>
          <w:rFonts w:ascii="Times New Roman" w:eastAsia="Times New Roman" w:hAnsi="Times New Roman" w:cs="Times New Roman"/>
          <w:b/>
          <w:bCs/>
          <w:color w:val="40454D"/>
          <w:sz w:val="28"/>
          <w:szCs w:val="28"/>
          <w:lang w:eastAsia="tr-TR"/>
        </w:rPr>
        <w:t>Kar Payı Avansı Dağıtımı</w:t>
      </w:r>
    </w:p>
    <w:p w:rsidR="00625E80" w:rsidRPr="00625E80" w:rsidRDefault="00625E80" w:rsidP="00625E80">
      <w:pPr>
        <w:spacing w:after="300" w:line="240" w:lineRule="auto"/>
        <w:jc w:val="both"/>
        <w:rPr>
          <w:rFonts w:ascii="Times New Roman" w:eastAsia="Times New Roman" w:hAnsi="Times New Roman" w:cs="Times New Roman"/>
          <w:color w:val="6D6D6D"/>
          <w:sz w:val="28"/>
          <w:szCs w:val="28"/>
          <w:lang w:eastAsia="tr-TR"/>
        </w:rPr>
      </w:pPr>
      <w:r w:rsidRPr="00625E80">
        <w:rPr>
          <w:rFonts w:ascii="Times New Roman" w:eastAsia="Times New Roman" w:hAnsi="Times New Roman" w:cs="Times New Roman"/>
          <w:b/>
          <w:bCs/>
          <w:color w:val="6D6D6D"/>
          <w:sz w:val="28"/>
          <w:szCs w:val="28"/>
          <w:lang w:eastAsia="tr-TR"/>
        </w:rPr>
        <w:t>Özet</w:t>
      </w:r>
      <w:r w:rsidRPr="00625E80">
        <w:rPr>
          <w:rFonts w:ascii="Times New Roman" w:eastAsia="Times New Roman" w:hAnsi="Times New Roman" w:cs="Times New Roman"/>
          <w:color w:val="6D6D6D"/>
          <w:sz w:val="28"/>
          <w:szCs w:val="28"/>
          <w:lang w:eastAsia="tr-TR"/>
        </w:rPr>
        <w:t xml:space="preserve">: Sermaye Piyasası Kanununa tabi olmayan anonim şirketler ile </w:t>
      </w:r>
      <w:proofErr w:type="spellStart"/>
      <w:r w:rsidRPr="00625E80">
        <w:rPr>
          <w:rFonts w:ascii="Times New Roman" w:eastAsia="Times New Roman" w:hAnsi="Times New Roman" w:cs="Times New Roman"/>
          <w:color w:val="6D6D6D"/>
          <w:sz w:val="28"/>
          <w:szCs w:val="28"/>
          <w:lang w:eastAsia="tr-TR"/>
        </w:rPr>
        <w:t>limited</w:t>
      </w:r>
      <w:proofErr w:type="spellEnd"/>
      <w:r w:rsidRPr="00625E80">
        <w:rPr>
          <w:rFonts w:ascii="Times New Roman" w:eastAsia="Times New Roman" w:hAnsi="Times New Roman" w:cs="Times New Roman"/>
          <w:color w:val="6D6D6D"/>
          <w:sz w:val="28"/>
          <w:szCs w:val="28"/>
          <w:lang w:eastAsia="tr-TR"/>
        </w:rPr>
        <w:t xml:space="preserve"> ve sermayesi paylara bölünmüş komandit şirketlerde avans kar payı dağıtımına ilişkin usul ve esaslarda değişiklik yapıldı.</w:t>
      </w:r>
    </w:p>
    <w:p w:rsidR="00625E80" w:rsidRPr="00625E80" w:rsidRDefault="00625E80" w:rsidP="00625E80">
      <w:pPr>
        <w:spacing w:after="0" w:line="240" w:lineRule="auto"/>
        <w:jc w:val="both"/>
        <w:rPr>
          <w:rFonts w:ascii="Times New Roman" w:eastAsia="Times New Roman" w:hAnsi="Times New Roman" w:cs="Times New Roman"/>
          <w:color w:val="6D6D6D"/>
          <w:sz w:val="28"/>
          <w:szCs w:val="28"/>
          <w:lang w:eastAsia="tr-TR"/>
        </w:rPr>
      </w:pPr>
      <w:r w:rsidRPr="00625E80">
        <w:rPr>
          <w:rFonts w:ascii="Times New Roman" w:eastAsia="Times New Roman" w:hAnsi="Times New Roman" w:cs="Times New Roman"/>
          <w:color w:val="6D6D6D"/>
          <w:sz w:val="28"/>
          <w:szCs w:val="28"/>
          <w:lang w:eastAsia="tr-TR"/>
        </w:rPr>
        <w:t>3.1.2011 tarihli ve </w:t>
      </w:r>
      <w:hyperlink r:id="rId5" w:history="1">
        <w:r w:rsidRPr="00625E80">
          <w:rPr>
            <w:rFonts w:ascii="Times New Roman" w:eastAsia="Times New Roman" w:hAnsi="Times New Roman" w:cs="Times New Roman"/>
            <w:b/>
            <w:bCs/>
            <w:color w:val="1E73BE"/>
            <w:sz w:val="28"/>
            <w:szCs w:val="28"/>
            <w:u w:val="single"/>
            <w:lang w:eastAsia="tr-TR"/>
          </w:rPr>
          <w:t>6102 sayılı Türk Ticaret Kanununun</w:t>
        </w:r>
      </w:hyperlink>
      <w:r w:rsidRPr="00625E80">
        <w:rPr>
          <w:rFonts w:ascii="Times New Roman" w:eastAsia="Times New Roman" w:hAnsi="Times New Roman" w:cs="Times New Roman"/>
          <w:color w:val="6D6D6D"/>
          <w:sz w:val="28"/>
          <w:szCs w:val="28"/>
          <w:lang w:eastAsia="tr-TR"/>
        </w:rPr>
        <w:t> 509’uncu maddesinin üçüncü fıkrasında, Sermaye Piyasası Kanununa tabi olmayan anonim şirketlerde, Kar payı avansının Gümrük ve Ticaret Bakanlığının bir tebliği ile düzenleneceği hüküm altına alınmıştır. Bu düzenleme kapsamında Gümrük ve Ticaret Bakanlığınca çıkarılan</w:t>
      </w:r>
      <w:r w:rsidRPr="00625E80">
        <w:rPr>
          <w:rFonts w:ascii="Times New Roman" w:eastAsia="Times New Roman" w:hAnsi="Times New Roman" w:cs="Times New Roman"/>
          <w:b/>
          <w:color w:val="6D6D6D"/>
          <w:sz w:val="28"/>
          <w:szCs w:val="28"/>
          <w:lang w:eastAsia="tr-TR"/>
        </w:rPr>
        <w:t xml:space="preserve"> KÂR PAYI AVANSI DAĞITIMI HAKKINDA TEBLİĞ</w:t>
      </w:r>
      <w:r w:rsidRPr="00625E80">
        <w:rPr>
          <w:rFonts w:ascii="Times New Roman" w:eastAsia="Times New Roman" w:hAnsi="Times New Roman" w:cs="Times New Roman"/>
          <w:color w:val="6D6D6D"/>
          <w:sz w:val="28"/>
          <w:szCs w:val="28"/>
          <w:lang w:eastAsia="tr-TR"/>
        </w:rPr>
        <w:t>, 9 Ağustos 2012 tarihli ve 28379 sayılı resmi gazetede yayımlanmış ve yayımı tarihinde yürürlüğe girmişti.</w:t>
      </w:r>
    </w:p>
    <w:p w:rsidR="00625E80" w:rsidRPr="00625E80" w:rsidRDefault="00625E80" w:rsidP="00625E80">
      <w:pPr>
        <w:spacing w:after="300" w:line="240" w:lineRule="auto"/>
        <w:jc w:val="both"/>
        <w:rPr>
          <w:rFonts w:ascii="Times New Roman" w:eastAsia="Times New Roman" w:hAnsi="Times New Roman" w:cs="Times New Roman"/>
          <w:color w:val="6D6D6D"/>
          <w:sz w:val="28"/>
          <w:szCs w:val="28"/>
          <w:lang w:eastAsia="tr-TR"/>
        </w:rPr>
      </w:pPr>
      <w:r w:rsidRPr="00625E80">
        <w:rPr>
          <w:rFonts w:ascii="Times New Roman" w:eastAsia="Times New Roman" w:hAnsi="Times New Roman" w:cs="Times New Roman"/>
          <w:color w:val="6D6D6D"/>
          <w:sz w:val="28"/>
          <w:szCs w:val="28"/>
          <w:lang w:eastAsia="tr-TR"/>
        </w:rPr>
        <w:t>Söz konusu Tebliğde özetle;</w:t>
      </w:r>
    </w:p>
    <w:p w:rsidR="00625E80" w:rsidRPr="00625E80" w:rsidRDefault="00625E80" w:rsidP="00625E80">
      <w:pPr>
        <w:spacing w:after="300" w:line="240" w:lineRule="auto"/>
        <w:jc w:val="both"/>
        <w:rPr>
          <w:rFonts w:ascii="Times New Roman" w:eastAsia="Times New Roman" w:hAnsi="Times New Roman" w:cs="Times New Roman"/>
          <w:color w:val="6D6D6D"/>
          <w:sz w:val="28"/>
          <w:szCs w:val="28"/>
          <w:lang w:eastAsia="tr-TR"/>
        </w:rPr>
      </w:pPr>
      <w:r w:rsidRPr="00625E80">
        <w:rPr>
          <w:rFonts w:ascii="Times New Roman" w:eastAsia="Times New Roman" w:hAnsi="Times New Roman" w:cs="Times New Roman"/>
          <w:color w:val="6D6D6D"/>
          <w:sz w:val="28"/>
          <w:szCs w:val="28"/>
          <w:lang w:eastAsia="tr-TR"/>
        </w:rPr>
        <w:t xml:space="preserve">— Tebliğin sayılı Sermaye Piyasası Kanununa tabi olmayan anonim şirketler ile </w:t>
      </w:r>
      <w:proofErr w:type="spellStart"/>
      <w:r w:rsidRPr="00625E80">
        <w:rPr>
          <w:rFonts w:ascii="Times New Roman" w:eastAsia="Times New Roman" w:hAnsi="Times New Roman" w:cs="Times New Roman"/>
          <w:color w:val="6D6D6D"/>
          <w:sz w:val="28"/>
          <w:szCs w:val="28"/>
          <w:lang w:eastAsia="tr-TR"/>
        </w:rPr>
        <w:t>limited</w:t>
      </w:r>
      <w:proofErr w:type="spellEnd"/>
      <w:r w:rsidRPr="00625E80">
        <w:rPr>
          <w:rFonts w:ascii="Times New Roman" w:eastAsia="Times New Roman" w:hAnsi="Times New Roman" w:cs="Times New Roman"/>
          <w:color w:val="6D6D6D"/>
          <w:sz w:val="28"/>
          <w:szCs w:val="28"/>
          <w:lang w:eastAsia="tr-TR"/>
        </w:rPr>
        <w:t xml:space="preserve"> ve sermayesi paylara bölünmüş komandit şirketleri kapsadığı,</w:t>
      </w:r>
    </w:p>
    <w:p w:rsidR="00625E80" w:rsidRPr="00625E80" w:rsidRDefault="00625E80" w:rsidP="00625E80">
      <w:pPr>
        <w:spacing w:after="300" w:line="240" w:lineRule="auto"/>
        <w:jc w:val="both"/>
        <w:rPr>
          <w:rFonts w:ascii="Times New Roman" w:eastAsia="Times New Roman" w:hAnsi="Times New Roman" w:cs="Times New Roman"/>
          <w:color w:val="6D6D6D"/>
          <w:sz w:val="28"/>
          <w:szCs w:val="28"/>
          <w:lang w:eastAsia="tr-TR"/>
        </w:rPr>
      </w:pPr>
      <w:r w:rsidRPr="00625E80">
        <w:rPr>
          <w:rFonts w:ascii="Times New Roman" w:eastAsia="Times New Roman" w:hAnsi="Times New Roman" w:cs="Times New Roman"/>
          <w:color w:val="6D6D6D"/>
          <w:sz w:val="28"/>
          <w:szCs w:val="28"/>
          <w:lang w:eastAsia="tr-TR"/>
        </w:rPr>
        <w:t>— Şirketlerin kâr payı avansı dağıtabilmeleri için, şirket genel kurulunca kâr payı avansı dağıtılmasına ilişkin karar alınması ve kâr payı avansı dağıtılacak hesap döneminde hazırlanan üç, altı veya dokuz aylık ara dönem finansal tablolara göre kâr edilmiş olması gerektiği</w:t>
      </w:r>
      <w:r w:rsidR="00D110CC">
        <w:rPr>
          <w:rFonts w:ascii="Times New Roman" w:eastAsia="Times New Roman" w:hAnsi="Times New Roman" w:cs="Times New Roman"/>
          <w:color w:val="6D6D6D"/>
          <w:sz w:val="28"/>
          <w:szCs w:val="28"/>
          <w:lang w:eastAsia="tr-TR"/>
        </w:rPr>
        <w:t xml:space="preserve"> </w:t>
      </w:r>
      <w:r w:rsidRPr="00625E80">
        <w:rPr>
          <w:rFonts w:ascii="Times New Roman" w:eastAsia="Times New Roman" w:hAnsi="Times New Roman" w:cs="Times New Roman"/>
          <w:color w:val="6D6D6D"/>
          <w:sz w:val="28"/>
          <w:szCs w:val="28"/>
          <w:lang w:eastAsia="tr-TR"/>
        </w:rPr>
        <w:t>belirtilmişti.</w:t>
      </w:r>
    </w:p>
    <w:p w:rsidR="00625E80" w:rsidRPr="00625E80" w:rsidRDefault="00625E80" w:rsidP="00D110CC">
      <w:pPr>
        <w:spacing w:after="300" w:line="240" w:lineRule="auto"/>
        <w:jc w:val="both"/>
        <w:rPr>
          <w:rFonts w:ascii="Times New Roman" w:eastAsia="Times New Roman" w:hAnsi="Times New Roman" w:cs="Times New Roman"/>
          <w:color w:val="6D6D6D"/>
          <w:sz w:val="28"/>
          <w:szCs w:val="28"/>
          <w:lang w:eastAsia="tr-TR"/>
        </w:rPr>
      </w:pPr>
      <w:r w:rsidRPr="00625E80">
        <w:rPr>
          <w:rFonts w:ascii="Times New Roman" w:eastAsia="Times New Roman" w:hAnsi="Times New Roman" w:cs="Times New Roman"/>
          <w:color w:val="6D6D6D"/>
          <w:sz w:val="28"/>
          <w:szCs w:val="28"/>
          <w:lang w:eastAsia="tr-TR"/>
        </w:rPr>
        <w:t>Bu kapsamda Ticaret Bakanlığınca çıkarılarak 1 Eylül 2018 tarihli ve 30522 sayılı resmi gazetede yayımlanan </w:t>
      </w:r>
      <w:hyperlink r:id="rId6" w:history="1">
        <w:r w:rsidRPr="00625E80">
          <w:rPr>
            <w:rFonts w:ascii="Times New Roman" w:eastAsia="Times New Roman" w:hAnsi="Times New Roman" w:cs="Times New Roman"/>
            <w:b/>
            <w:bCs/>
            <w:color w:val="1E73BE"/>
            <w:sz w:val="28"/>
            <w:szCs w:val="28"/>
            <w:u w:val="single"/>
            <w:lang w:eastAsia="tr-TR"/>
          </w:rPr>
          <w:t>Kâr Payı Avansı Dağıtımı Hakkında Tebliğde Değişiklik Yapılmasına Dair Tebliğ</w:t>
        </w:r>
      </w:hyperlink>
      <w:r w:rsidRPr="00625E80">
        <w:rPr>
          <w:rFonts w:ascii="Times New Roman" w:eastAsia="Times New Roman" w:hAnsi="Times New Roman" w:cs="Times New Roman"/>
          <w:color w:val="6D6D6D"/>
          <w:sz w:val="28"/>
          <w:szCs w:val="28"/>
          <w:lang w:eastAsia="tr-TR"/>
        </w:rPr>
        <w:t> ile söz konusu Tebliğde değişiklik yapılmıştır.</w:t>
      </w:r>
      <w:bookmarkStart w:id="0" w:name="_GoBack"/>
      <w:bookmarkEnd w:id="0"/>
    </w:p>
    <w:p w:rsidR="00625E80" w:rsidRPr="00625E80" w:rsidRDefault="00625E80" w:rsidP="00625E80">
      <w:pPr>
        <w:spacing w:after="300" w:line="240" w:lineRule="auto"/>
        <w:jc w:val="both"/>
        <w:rPr>
          <w:rFonts w:ascii="Times New Roman" w:eastAsia="Times New Roman" w:hAnsi="Times New Roman" w:cs="Times New Roman"/>
          <w:color w:val="6D6D6D"/>
          <w:sz w:val="28"/>
          <w:szCs w:val="28"/>
          <w:lang w:eastAsia="tr-TR"/>
        </w:rPr>
      </w:pPr>
      <w:r w:rsidRPr="00625E80">
        <w:rPr>
          <w:rFonts w:ascii="Times New Roman" w:eastAsia="Times New Roman" w:hAnsi="Times New Roman" w:cs="Times New Roman"/>
          <w:color w:val="6D6D6D"/>
          <w:sz w:val="28"/>
          <w:szCs w:val="28"/>
          <w:lang w:eastAsia="tr-TR"/>
        </w:rPr>
        <w:t>Bu kapsamda Tebliğde;</w:t>
      </w:r>
    </w:p>
    <w:p w:rsidR="00625E80" w:rsidRPr="00625E80" w:rsidRDefault="00625E80" w:rsidP="00625E80">
      <w:pPr>
        <w:spacing w:after="300" w:line="240" w:lineRule="auto"/>
        <w:jc w:val="both"/>
        <w:rPr>
          <w:rFonts w:ascii="Times New Roman" w:eastAsia="Times New Roman" w:hAnsi="Times New Roman" w:cs="Times New Roman"/>
          <w:color w:val="6D6D6D"/>
          <w:sz w:val="28"/>
          <w:szCs w:val="28"/>
          <w:lang w:eastAsia="tr-TR"/>
        </w:rPr>
      </w:pPr>
      <w:proofErr w:type="gramStart"/>
      <w:r w:rsidRPr="00625E80">
        <w:rPr>
          <w:rFonts w:ascii="Times New Roman" w:eastAsia="Times New Roman" w:hAnsi="Times New Roman" w:cs="Times New Roman"/>
          <w:color w:val="6D6D6D"/>
          <w:sz w:val="28"/>
          <w:szCs w:val="28"/>
          <w:lang w:eastAsia="tr-TR"/>
        </w:rPr>
        <w:t>— İlgili hesap dönemi sonunda zarar oluşması durumunda; varsa bir önceki yıla ait bilançoda yer alan genel kanuni yedek akçeler dikkate alınmadan serbest yedek akçelerin öncelikle oluşan zararın mahsubunda kullanılacağı, bu akçelerin oluşan zararı karşılayamaması halinde dönem içinde dağıtılan kâr payı avanslarının tamamının yönetim organının ihtarı üzerine ortaklar tarafından şirkete iade edileceği,</w:t>
      </w:r>
      <w:proofErr w:type="gramEnd"/>
    </w:p>
    <w:p w:rsidR="00625E80" w:rsidRPr="00625E80" w:rsidRDefault="00625E80" w:rsidP="00625E80">
      <w:pPr>
        <w:spacing w:after="300" w:line="240" w:lineRule="auto"/>
        <w:jc w:val="both"/>
        <w:rPr>
          <w:rFonts w:ascii="Times New Roman" w:eastAsia="Times New Roman" w:hAnsi="Times New Roman" w:cs="Times New Roman"/>
          <w:color w:val="6D6D6D"/>
          <w:sz w:val="28"/>
          <w:szCs w:val="28"/>
          <w:lang w:eastAsia="tr-TR"/>
        </w:rPr>
      </w:pPr>
      <w:proofErr w:type="gramStart"/>
      <w:r w:rsidRPr="00625E80">
        <w:rPr>
          <w:rFonts w:ascii="Times New Roman" w:eastAsia="Times New Roman" w:hAnsi="Times New Roman" w:cs="Times New Roman"/>
          <w:color w:val="6D6D6D"/>
          <w:sz w:val="28"/>
          <w:szCs w:val="28"/>
          <w:lang w:eastAsia="tr-TR"/>
        </w:rPr>
        <w:t xml:space="preserve">— İlgili hesap dönemi sonunda zarar oluşması durumunda yine genel kanuni yedek akçeler dikkate alınmadan serbest yedek akçelerin, oluşan dönem zararından mahsubu sonrasında bakiye serbest yedek akçe tutarının dağıtılan kâr payı avanslarından indirileceği, indirim işlemi sonucunda dönem içinde dağıtılan kâr payı avansı tutarının bakiye serbest yedek akçe tutarını aşması </w:t>
      </w:r>
      <w:r w:rsidRPr="00625E80">
        <w:rPr>
          <w:rFonts w:ascii="Times New Roman" w:eastAsia="Times New Roman" w:hAnsi="Times New Roman" w:cs="Times New Roman"/>
          <w:color w:val="6D6D6D"/>
          <w:sz w:val="28"/>
          <w:szCs w:val="28"/>
          <w:lang w:eastAsia="tr-TR"/>
        </w:rPr>
        <w:lastRenderedPageBreak/>
        <w:t>halinde ise aşan kısmının yönetim organının ihtarı üzerine ortaklar tarafından şirkete iade edileceği,</w:t>
      </w:r>
      <w:proofErr w:type="gramEnd"/>
    </w:p>
    <w:p w:rsidR="00625E80" w:rsidRPr="00625E80" w:rsidRDefault="00625E80" w:rsidP="00625E80">
      <w:pPr>
        <w:spacing w:after="300" w:line="240" w:lineRule="auto"/>
        <w:jc w:val="both"/>
        <w:rPr>
          <w:rFonts w:ascii="Times New Roman" w:eastAsia="Times New Roman" w:hAnsi="Times New Roman" w:cs="Times New Roman"/>
          <w:color w:val="6D6D6D"/>
          <w:sz w:val="28"/>
          <w:szCs w:val="28"/>
          <w:lang w:eastAsia="tr-TR"/>
        </w:rPr>
      </w:pPr>
      <w:proofErr w:type="gramStart"/>
      <w:r w:rsidRPr="00625E80">
        <w:rPr>
          <w:rFonts w:ascii="Times New Roman" w:eastAsia="Times New Roman" w:hAnsi="Times New Roman" w:cs="Times New Roman"/>
          <w:color w:val="6D6D6D"/>
          <w:sz w:val="28"/>
          <w:szCs w:val="28"/>
          <w:lang w:eastAsia="tr-TR"/>
        </w:rPr>
        <w:t>Dağıtılacak kâr payı avansının; varsa geçmiş yıllar zararlarının tamamının, vergi, fon ve mali karşılıkların, kanunlara ve sözleşmeye göre ayrılması gereken yedek akçelerin, varsa intifa senedi sahipleri ile sözleşmede ortaklar dışında kâra katılması öngörülen (daha önce varsa imtiyazlı pay sahipleri, intifa senedi sahipleri idi) ve kâra katılan diğer kimseler için ayrılacak tutarların, oluşan ara dönem kârından indirilmesi suretiyle hesaplanacağı</w:t>
      </w:r>
      <w:proofErr w:type="gramEnd"/>
    </w:p>
    <w:p w:rsidR="00625E80" w:rsidRPr="00625E80" w:rsidRDefault="00625E80" w:rsidP="00625E80">
      <w:pPr>
        <w:spacing w:after="300" w:line="240" w:lineRule="auto"/>
        <w:jc w:val="both"/>
        <w:rPr>
          <w:rFonts w:ascii="Times New Roman" w:eastAsia="Times New Roman" w:hAnsi="Times New Roman" w:cs="Times New Roman"/>
          <w:color w:val="6D6D6D"/>
          <w:sz w:val="28"/>
          <w:szCs w:val="28"/>
          <w:lang w:eastAsia="tr-TR"/>
        </w:rPr>
      </w:pPr>
      <w:r w:rsidRPr="00625E80">
        <w:rPr>
          <w:rFonts w:ascii="Times New Roman" w:eastAsia="Times New Roman" w:hAnsi="Times New Roman" w:cs="Times New Roman"/>
          <w:color w:val="6D6D6D"/>
          <w:sz w:val="28"/>
          <w:szCs w:val="28"/>
          <w:lang w:eastAsia="tr-TR"/>
        </w:rPr>
        <w:t>– Kâr payı avansının, kârdan imtiyazlı paylara imtiyaz dikkate alınmadan ödenirken yapılan değişiklikle kârdan imtiyazlı paylara imtiyaz dikkate “alınarak” ödenmesi,</w:t>
      </w:r>
    </w:p>
    <w:p w:rsidR="00625E80" w:rsidRPr="00625E80" w:rsidRDefault="00625E80" w:rsidP="00625E80">
      <w:pPr>
        <w:spacing w:after="300" w:line="240" w:lineRule="auto"/>
        <w:jc w:val="both"/>
        <w:rPr>
          <w:rFonts w:ascii="Times New Roman" w:eastAsia="Times New Roman" w:hAnsi="Times New Roman" w:cs="Times New Roman"/>
          <w:color w:val="6D6D6D"/>
          <w:sz w:val="28"/>
          <w:szCs w:val="28"/>
          <w:lang w:eastAsia="tr-TR"/>
        </w:rPr>
      </w:pPr>
      <w:r w:rsidRPr="00625E80">
        <w:rPr>
          <w:rFonts w:ascii="Times New Roman" w:eastAsia="Times New Roman" w:hAnsi="Times New Roman" w:cs="Times New Roman"/>
          <w:color w:val="6D6D6D"/>
          <w:sz w:val="28"/>
          <w:szCs w:val="28"/>
          <w:lang w:eastAsia="tr-TR"/>
        </w:rPr>
        <w:t>— Kâr payı avansının, “sözleşmede aksine bir hüküm yoksa dağıtım tarihleri itibarıyla ortağın sermaye payı için şirkete yaptığı ödemelerle orantılı olacak şekilde dağıtılması,</w:t>
      </w:r>
    </w:p>
    <w:p w:rsidR="00625E80" w:rsidRPr="00625E80" w:rsidRDefault="00625E80" w:rsidP="00625E80">
      <w:pPr>
        <w:spacing w:after="300" w:line="240" w:lineRule="auto"/>
        <w:jc w:val="both"/>
        <w:rPr>
          <w:rFonts w:ascii="Times New Roman" w:eastAsia="Times New Roman" w:hAnsi="Times New Roman" w:cs="Times New Roman"/>
          <w:color w:val="6D6D6D"/>
          <w:sz w:val="28"/>
          <w:szCs w:val="28"/>
          <w:lang w:eastAsia="tr-TR"/>
        </w:rPr>
      </w:pPr>
      <w:r w:rsidRPr="00625E80">
        <w:rPr>
          <w:rFonts w:ascii="Times New Roman" w:eastAsia="Times New Roman" w:hAnsi="Times New Roman" w:cs="Times New Roman"/>
          <w:color w:val="6D6D6D"/>
          <w:sz w:val="28"/>
          <w:szCs w:val="28"/>
          <w:lang w:eastAsia="tr-TR"/>
        </w:rPr>
        <w:t>— Dağıtılacak kâr payı avansının; varsa geçmiş yıllar zararlarının tamamının, vergi, fon ve mali karşılıkların, kanunlara ve sözleşmeye göre ayrılması gereken yedek akçelerin, varsa intifa senedi sahipleri ile sözleşmede ortaklar dışında kâra katılması öngörülen ve kâra katılan diğer kimseler için ayrılacak tutarların, oluşan ara dönem kârından indirilmesi suretiyle hesaplanacağı belirtilmiştir.</w:t>
      </w:r>
    </w:p>
    <w:p w:rsidR="00625E80" w:rsidRPr="00625E80" w:rsidRDefault="00625E80" w:rsidP="00625E80">
      <w:pPr>
        <w:spacing w:after="300" w:line="240" w:lineRule="auto"/>
        <w:jc w:val="both"/>
        <w:rPr>
          <w:rFonts w:ascii="Times New Roman" w:eastAsia="Times New Roman" w:hAnsi="Times New Roman" w:cs="Times New Roman"/>
          <w:color w:val="6D6D6D"/>
          <w:sz w:val="28"/>
          <w:szCs w:val="28"/>
          <w:lang w:eastAsia="tr-TR"/>
        </w:rPr>
      </w:pPr>
      <w:r w:rsidRPr="00625E80">
        <w:rPr>
          <w:rFonts w:ascii="Times New Roman" w:eastAsia="Times New Roman" w:hAnsi="Times New Roman" w:cs="Times New Roman"/>
          <w:color w:val="6D6D6D"/>
          <w:sz w:val="28"/>
          <w:szCs w:val="28"/>
          <w:lang w:eastAsia="tr-TR"/>
        </w:rPr>
        <w:t xml:space="preserve">Ayrıca Tebliğ eki KAR PAYI AVANSI TUTARININ HESAPLANMASINA İLİŞKİN </w:t>
      </w:r>
      <w:proofErr w:type="spellStart"/>
      <w:r w:rsidRPr="00625E80">
        <w:rPr>
          <w:rFonts w:ascii="Times New Roman" w:eastAsia="Times New Roman" w:hAnsi="Times New Roman" w:cs="Times New Roman"/>
          <w:color w:val="6D6D6D"/>
          <w:sz w:val="28"/>
          <w:szCs w:val="28"/>
          <w:lang w:eastAsia="tr-TR"/>
        </w:rPr>
        <w:t>TABLO’da</w:t>
      </w:r>
      <w:proofErr w:type="spellEnd"/>
      <w:r w:rsidRPr="00625E80">
        <w:rPr>
          <w:rFonts w:ascii="Times New Roman" w:eastAsia="Times New Roman" w:hAnsi="Times New Roman" w:cs="Times New Roman"/>
          <w:color w:val="6D6D6D"/>
          <w:sz w:val="28"/>
          <w:szCs w:val="28"/>
          <w:lang w:eastAsia="tr-TR"/>
        </w:rPr>
        <w:t xml:space="preserve"> Değiştirilmiştir.</w:t>
      </w:r>
    </w:p>
    <w:p w:rsidR="00625E80" w:rsidRPr="00625E80" w:rsidRDefault="00625E80" w:rsidP="00625E80">
      <w:pPr>
        <w:spacing w:after="300" w:line="240" w:lineRule="auto"/>
        <w:jc w:val="both"/>
        <w:rPr>
          <w:rFonts w:ascii="Times New Roman" w:eastAsia="Times New Roman" w:hAnsi="Times New Roman" w:cs="Times New Roman"/>
          <w:color w:val="6D6D6D"/>
          <w:sz w:val="28"/>
          <w:szCs w:val="28"/>
          <w:lang w:eastAsia="tr-TR"/>
        </w:rPr>
      </w:pPr>
      <w:r w:rsidRPr="00625E80">
        <w:rPr>
          <w:rFonts w:ascii="Times New Roman" w:eastAsia="Times New Roman" w:hAnsi="Times New Roman" w:cs="Times New Roman"/>
          <w:color w:val="6D6D6D"/>
          <w:sz w:val="28"/>
          <w:szCs w:val="28"/>
          <w:lang w:eastAsia="tr-TR"/>
        </w:rPr>
        <w:t>Yapılan değişiklikler, aşağıdaki Tabloda düzenlemenin önceki hali ile karşılaştırmalı olarak belirtilmiştir.</w:t>
      </w:r>
    </w:p>
    <w:p w:rsidR="00625E80" w:rsidRPr="00625E80" w:rsidRDefault="00625E80" w:rsidP="00625E80">
      <w:pPr>
        <w:spacing w:after="300" w:line="240" w:lineRule="auto"/>
        <w:jc w:val="both"/>
        <w:rPr>
          <w:rFonts w:ascii="Times New Roman" w:eastAsia="Times New Roman" w:hAnsi="Times New Roman" w:cs="Times New Roman"/>
          <w:color w:val="6D6D6D"/>
          <w:sz w:val="28"/>
          <w:szCs w:val="28"/>
          <w:lang w:eastAsia="tr-TR"/>
        </w:rPr>
      </w:pPr>
      <w:hyperlink r:id="rId7" w:history="1">
        <w:r w:rsidRPr="00625E80">
          <w:rPr>
            <w:rFonts w:ascii="Times New Roman" w:eastAsia="Times New Roman" w:hAnsi="Times New Roman" w:cs="Times New Roman"/>
            <w:b/>
            <w:bCs/>
            <w:color w:val="1E73BE"/>
            <w:sz w:val="28"/>
            <w:szCs w:val="28"/>
            <w:u w:val="single"/>
            <w:lang w:eastAsia="tr-TR"/>
          </w:rPr>
          <w:t>Karşılaştırmalı Tablo İçin Tıklayınız</w:t>
        </w:r>
      </w:hyperlink>
    </w:p>
    <w:p w:rsidR="00625E80" w:rsidRPr="00625E80" w:rsidRDefault="00625E80" w:rsidP="00625E80">
      <w:pPr>
        <w:spacing w:after="300" w:line="240" w:lineRule="auto"/>
        <w:jc w:val="both"/>
        <w:rPr>
          <w:rFonts w:ascii="Times New Roman" w:eastAsia="Times New Roman" w:hAnsi="Times New Roman" w:cs="Times New Roman"/>
          <w:color w:val="6D6D6D"/>
          <w:sz w:val="28"/>
          <w:szCs w:val="28"/>
          <w:lang w:eastAsia="tr-TR"/>
        </w:rPr>
      </w:pPr>
      <w:r w:rsidRPr="00625E80">
        <w:rPr>
          <w:rFonts w:ascii="Times New Roman" w:eastAsia="Times New Roman" w:hAnsi="Times New Roman" w:cs="Times New Roman"/>
          <w:color w:val="6D6D6D"/>
          <w:sz w:val="28"/>
          <w:szCs w:val="28"/>
          <w:lang w:eastAsia="tr-TR"/>
        </w:rPr>
        <w:t>Kaynak: </w:t>
      </w:r>
      <w:r w:rsidRPr="00625E80">
        <w:rPr>
          <w:rFonts w:ascii="Times New Roman" w:eastAsia="Times New Roman" w:hAnsi="Times New Roman" w:cs="Times New Roman"/>
          <w:b/>
          <w:bCs/>
          <w:color w:val="6D6D6D"/>
          <w:sz w:val="28"/>
          <w:szCs w:val="28"/>
          <w:lang w:eastAsia="tr-TR"/>
        </w:rPr>
        <w:t>TÜRMOB</w:t>
      </w:r>
    </w:p>
    <w:p w:rsidR="00712683" w:rsidRPr="00625E80" w:rsidRDefault="00712683" w:rsidP="00625E80">
      <w:pPr>
        <w:jc w:val="both"/>
        <w:rPr>
          <w:rFonts w:ascii="Times New Roman" w:hAnsi="Times New Roman" w:cs="Times New Roman"/>
          <w:sz w:val="28"/>
          <w:szCs w:val="28"/>
        </w:rPr>
      </w:pPr>
    </w:p>
    <w:sectPr w:rsidR="00712683" w:rsidRPr="00625E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Titillium Web">
    <w:altName w:val="Times New Roman"/>
    <w:panose1 w:val="00000000000000000000"/>
    <w:charset w:val="00"/>
    <w:family w:val="roman"/>
    <w:notTrueType/>
    <w:pitch w:val="default"/>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E80"/>
    <w:rsid w:val="00625E80"/>
    <w:rsid w:val="00712683"/>
    <w:rsid w:val="00D110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25E8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25E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25E8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25E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4111658">
      <w:bodyDiv w:val="1"/>
      <w:marLeft w:val="0"/>
      <w:marRight w:val="0"/>
      <w:marTop w:val="0"/>
      <w:marBottom w:val="0"/>
      <w:divBdr>
        <w:top w:val="none" w:sz="0" w:space="0" w:color="auto"/>
        <w:left w:val="none" w:sz="0" w:space="0" w:color="auto"/>
        <w:bottom w:val="none" w:sz="0" w:space="0" w:color="auto"/>
        <w:right w:val="none" w:sz="0" w:space="0" w:color="auto"/>
      </w:divBdr>
      <w:divsChild>
        <w:div w:id="1543253485">
          <w:marLeft w:val="0"/>
          <w:marRight w:val="0"/>
          <w:marTop w:val="0"/>
          <w:marBottom w:val="240"/>
          <w:divBdr>
            <w:top w:val="none" w:sz="0" w:space="0" w:color="auto"/>
            <w:left w:val="none" w:sz="0" w:space="0" w:color="auto"/>
            <w:bottom w:val="single" w:sz="6" w:space="5" w:color="EAEAEA"/>
            <w:right w:val="none" w:sz="0" w:space="0" w:color="auto"/>
          </w:divBdr>
          <w:divsChild>
            <w:div w:id="950819088">
              <w:marLeft w:val="0"/>
              <w:marRight w:val="0"/>
              <w:marTop w:val="0"/>
              <w:marBottom w:val="0"/>
              <w:divBdr>
                <w:top w:val="none" w:sz="0" w:space="0" w:color="auto"/>
                <w:left w:val="none" w:sz="0" w:space="0" w:color="auto"/>
                <w:bottom w:val="none" w:sz="0" w:space="0" w:color="auto"/>
                <w:right w:val="none" w:sz="0" w:space="0" w:color="auto"/>
              </w:divBdr>
            </w:div>
          </w:divsChild>
        </w:div>
        <w:div w:id="1483698530">
          <w:marLeft w:val="0"/>
          <w:marRight w:val="0"/>
          <w:marTop w:val="0"/>
          <w:marBottom w:val="0"/>
          <w:divBdr>
            <w:top w:val="none" w:sz="0" w:space="0" w:color="auto"/>
            <w:left w:val="none" w:sz="0" w:space="0" w:color="auto"/>
            <w:bottom w:val="none" w:sz="0" w:space="0" w:color="auto"/>
            <w:right w:val="none" w:sz="0" w:space="0" w:color="auto"/>
          </w:divBdr>
          <w:divsChild>
            <w:div w:id="1828472740">
              <w:marLeft w:val="0"/>
              <w:marRight w:val="0"/>
              <w:marTop w:val="0"/>
              <w:marBottom w:val="0"/>
              <w:divBdr>
                <w:top w:val="none" w:sz="0" w:space="0" w:color="auto"/>
                <w:left w:val="none" w:sz="0" w:space="0" w:color="auto"/>
                <w:bottom w:val="none" w:sz="0" w:space="0" w:color="auto"/>
                <w:right w:val="none" w:sz="0" w:space="0" w:color="auto"/>
              </w:divBdr>
            </w:div>
            <w:div w:id="726223693">
              <w:marLeft w:val="0"/>
              <w:marRight w:val="0"/>
              <w:marTop w:val="0"/>
              <w:marBottom w:val="0"/>
              <w:divBdr>
                <w:top w:val="none" w:sz="0" w:space="0" w:color="auto"/>
                <w:left w:val="none" w:sz="0" w:space="0" w:color="auto"/>
                <w:bottom w:val="none" w:sz="0" w:space="0" w:color="auto"/>
                <w:right w:val="none" w:sz="0" w:space="0" w:color="auto"/>
              </w:divBdr>
              <w:divsChild>
                <w:div w:id="480968838">
                  <w:marLeft w:val="0"/>
                  <w:marRight w:val="0"/>
                  <w:marTop w:val="0"/>
                  <w:marBottom w:val="300"/>
                  <w:divBdr>
                    <w:top w:val="none" w:sz="0" w:space="0" w:color="auto"/>
                    <w:left w:val="none" w:sz="0" w:space="0" w:color="auto"/>
                    <w:bottom w:val="none" w:sz="0" w:space="0" w:color="auto"/>
                    <w:right w:val="none" w:sz="0" w:space="0" w:color="auto"/>
                  </w:divBdr>
                  <w:divsChild>
                    <w:div w:id="356543386">
                      <w:marLeft w:val="0"/>
                      <w:marRight w:val="0"/>
                      <w:marTop w:val="0"/>
                      <w:marBottom w:val="0"/>
                      <w:divBdr>
                        <w:top w:val="none" w:sz="0" w:space="0" w:color="auto"/>
                        <w:left w:val="none" w:sz="0" w:space="0" w:color="auto"/>
                        <w:bottom w:val="none" w:sz="0" w:space="0" w:color="auto"/>
                        <w:right w:val="none" w:sz="0" w:space="0" w:color="auto"/>
                      </w:divBdr>
                      <w:divsChild>
                        <w:div w:id="1947879269">
                          <w:marLeft w:val="0"/>
                          <w:marRight w:val="0"/>
                          <w:marTop w:val="10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lomaliye.com/wp-content/uploads/2018/09/kar-payi-tablo-karsilastir.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lomaliye.com/2018/09/01/kar-payi-avansi-dagitimi/" TargetMode="External"/><Relationship Id="rId5" Type="http://schemas.openxmlformats.org/officeDocument/2006/relationships/hyperlink" Target="http://www.alomaliye.com/2011/02/14/turk-ticaret-kanunu-6102-sayili-kanu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602</Words>
  <Characters>3434</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2018-09-11T08:03:00Z</dcterms:created>
  <dcterms:modified xsi:type="dcterms:W3CDTF">2018-09-11T08:05:00Z</dcterms:modified>
</cp:coreProperties>
</file>