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shd w:val="clear" w:color="auto" w:fill="FFFFFF"/>
        <w:tblCellMar>
          <w:left w:w="0" w:type="dxa"/>
          <w:right w:w="0" w:type="dxa"/>
        </w:tblCellMar>
        <w:tblLook w:val="04A0" w:firstRow="1" w:lastRow="0" w:firstColumn="1" w:lastColumn="0" w:noHBand="0" w:noVBand="1"/>
      </w:tblPr>
      <w:tblGrid>
        <w:gridCol w:w="1215"/>
        <w:gridCol w:w="233"/>
        <w:gridCol w:w="5459"/>
        <w:gridCol w:w="360"/>
        <w:gridCol w:w="3365"/>
      </w:tblGrid>
      <w:tr w:rsidR="00E46A5D" w:rsidRPr="00E46A5D" w:rsidTr="00E46A5D">
        <w:tc>
          <w:tcPr>
            <w:tcW w:w="10632" w:type="dxa"/>
            <w:gridSpan w:val="5"/>
            <w:tcBorders>
              <w:top w:val="nil"/>
              <w:left w:val="nil"/>
              <w:bottom w:val="nil"/>
              <w:right w:val="nil"/>
            </w:tcBorders>
            <w:shd w:val="clear" w:color="auto" w:fill="FFFFFF"/>
            <w:hideMark/>
          </w:tcPr>
          <w:p w:rsidR="00E46A5D" w:rsidRPr="00E46A5D" w:rsidRDefault="00E46A5D" w:rsidP="00E46A5D">
            <w:pPr>
              <w:pStyle w:val="AralkYok"/>
              <w:jc w:val="center"/>
              <w:rPr>
                <w:sz w:val="28"/>
                <w:szCs w:val="28"/>
                <w:lang w:eastAsia="tr-TR"/>
              </w:rPr>
            </w:pPr>
            <w:r w:rsidRPr="00E46A5D">
              <w:rPr>
                <w:sz w:val="28"/>
                <w:szCs w:val="28"/>
                <w:lang w:eastAsia="tr-TR"/>
              </w:rPr>
              <w:t>T.C.</w:t>
            </w:r>
          </w:p>
          <w:p w:rsidR="00E46A5D" w:rsidRPr="00E46A5D" w:rsidRDefault="00E46A5D" w:rsidP="00E46A5D">
            <w:pPr>
              <w:pStyle w:val="AralkYok"/>
              <w:jc w:val="center"/>
              <w:rPr>
                <w:sz w:val="28"/>
                <w:szCs w:val="28"/>
                <w:lang w:eastAsia="tr-TR"/>
              </w:rPr>
            </w:pPr>
            <w:r w:rsidRPr="00E46A5D">
              <w:rPr>
                <w:sz w:val="28"/>
                <w:szCs w:val="28"/>
                <w:lang w:eastAsia="tr-TR"/>
              </w:rPr>
              <w:t>GELİR İDARESİ BAŞKANLIĞI</w:t>
            </w:r>
          </w:p>
          <w:p w:rsidR="00E46A5D" w:rsidRPr="00E46A5D" w:rsidRDefault="00E46A5D" w:rsidP="00E46A5D">
            <w:pPr>
              <w:pStyle w:val="AralkYok"/>
              <w:jc w:val="center"/>
              <w:rPr>
                <w:sz w:val="28"/>
                <w:szCs w:val="28"/>
                <w:lang w:eastAsia="tr-TR"/>
              </w:rPr>
            </w:pPr>
            <w:r w:rsidRPr="00E46A5D">
              <w:rPr>
                <w:sz w:val="28"/>
                <w:szCs w:val="28"/>
                <w:lang w:eastAsia="tr-TR"/>
              </w:rPr>
              <w:t>GAZİANTEP VERGİ DAİRESİ BAŞKANLIĞI</w:t>
            </w:r>
          </w:p>
          <w:p w:rsidR="00E46A5D" w:rsidRPr="00E46A5D" w:rsidRDefault="00E46A5D" w:rsidP="00E46A5D">
            <w:pPr>
              <w:pStyle w:val="AralkYok"/>
              <w:jc w:val="center"/>
              <w:rPr>
                <w:sz w:val="28"/>
                <w:szCs w:val="28"/>
                <w:lang w:eastAsia="tr-TR"/>
              </w:rPr>
            </w:pPr>
            <w:r w:rsidRPr="00E46A5D">
              <w:rPr>
                <w:sz w:val="28"/>
                <w:szCs w:val="28"/>
                <w:lang w:eastAsia="tr-TR"/>
              </w:rPr>
              <w:t>(Vergi ve Anlaşmalar Uygulama Müdürlüğü)</w:t>
            </w:r>
          </w:p>
          <w:p w:rsidR="00E46A5D" w:rsidRPr="00E46A5D" w:rsidRDefault="00E46A5D" w:rsidP="00E46A5D">
            <w:pPr>
              <w:pStyle w:val="AralkYok"/>
              <w:rPr>
                <w:sz w:val="28"/>
                <w:szCs w:val="28"/>
                <w:lang w:eastAsia="tr-TR"/>
              </w:rPr>
            </w:pPr>
            <w:r w:rsidRPr="00E46A5D">
              <w:rPr>
                <w:sz w:val="28"/>
                <w:szCs w:val="28"/>
                <w:lang w:eastAsia="tr-TR"/>
              </w:rPr>
              <w:t> </w:t>
            </w:r>
          </w:p>
        </w:tc>
      </w:tr>
      <w:tr w:rsidR="00E46A5D" w:rsidRPr="00E46A5D" w:rsidTr="00E46A5D">
        <w:tc>
          <w:tcPr>
            <w:tcW w:w="6907" w:type="dxa"/>
            <w:gridSpan w:val="3"/>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 </w:t>
            </w:r>
          </w:p>
        </w:tc>
        <w:tc>
          <w:tcPr>
            <w:tcW w:w="3725" w:type="dxa"/>
            <w:gridSpan w:val="2"/>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 </w:t>
            </w:r>
          </w:p>
        </w:tc>
      </w:tr>
      <w:tr w:rsidR="00E46A5D" w:rsidRPr="00E46A5D" w:rsidTr="00E46A5D">
        <w:tc>
          <w:tcPr>
            <w:tcW w:w="1215" w:type="dxa"/>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Sayı</w:t>
            </w:r>
          </w:p>
        </w:tc>
        <w:tc>
          <w:tcPr>
            <w:tcW w:w="233" w:type="dxa"/>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w:t>
            </w:r>
          </w:p>
        </w:tc>
        <w:tc>
          <w:tcPr>
            <w:tcW w:w="5819" w:type="dxa"/>
            <w:gridSpan w:val="2"/>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proofErr w:type="gramStart"/>
            <w:r w:rsidRPr="00E46A5D">
              <w:rPr>
                <w:sz w:val="28"/>
                <w:szCs w:val="28"/>
                <w:lang w:eastAsia="tr-TR"/>
              </w:rPr>
              <w:t>16700543</w:t>
            </w:r>
            <w:proofErr w:type="gramEnd"/>
            <w:r w:rsidRPr="00E46A5D">
              <w:rPr>
                <w:sz w:val="28"/>
                <w:szCs w:val="28"/>
                <w:lang w:eastAsia="tr-TR"/>
              </w:rPr>
              <w:t>-120[17-515-11]-16373</w:t>
            </w:r>
          </w:p>
        </w:tc>
        <w:tc>
          <w:tcPr>
            <w:tcW w:w="3365" w:type="dxa"/>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06.04.2017</w:t>
            </w:r>
          </w:p>
        </w:tc>
      </w:tr>
      <w:tr w:rsidR="00E46A5D" w:rsidRPr="00E46A5D" w:rsidTr="00E46A5D">
        <w:tc>
          <w:tcPr>
            <w:tcW w:w="1215" w:type="dxa"/>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Konu</w:t>
            </w:r>
          </w:p>
        </w:tc>
        <w:tc>
          <w:tcPr>
            <w:tcW w:w="233" w:type="dxa"/>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w:t>
            </w:r>
          </w:p>
        </w:tc>
        <w:tc>
          <w:tcPr>
            <w:tcW w:w="5459" w:type="dxa"/>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bookmarkStart w:id="0" w:name="_GoBack"/>
            <w:r w:rsidRPr="00E46A5D">
              <w:rPr>
                <w:sz w:val="28"/>
                <w:szCs w:val="28"/>
                <w:lang w:eastAsia="tr-TR"/>
              </w:rPr>
              <w:t xml:space="preserve">KDV ve Gelir Vergisi </w:t>
            </w:r>
            <w:proofErr w:type="spellStart"/>
            <w:r w:rsidRPr="00E46A5D">
              <w:rPr>
                <w:sz w:val="28"/>
                <w:szCs w:val="28"/>
                <w:lang w:eastAsia="tr-TR"/>
              </w:rPr>
              <w:t>Tevkifatı</w:t>
            </w:r>
            <w:bookmarkEnd w:id="0"/>
            <w:proofErr w:type="spellEnd"/>
          </w:p>
        </w:tc>
        <w:tc>
          <w:tcPr>
            <w:tcW w:w="3725" w:type="dxa"/>
            <w:gridSpan w:val="2"/>
            <w:tcBorders>
              <w:top w:val="nil"/>
              <w:left w:val="nil"/>
              <w:bottom w:val="nil"/>
              <w:right w:val="nil"/>
            </w:tcBorders>
            <w:shd w:val="clear" w:color="auto" w:fill="FFFFFF"/>
            <w:hideMark/>
          </w:tcPr>
          <w:p w:rsidR="00E46A5D" w:rsidRPr="00E46A5D" w:rsidRDefault="00E46A5D" w:rsidP="00E46A5D">
            <w:pPr>
              <w:pStyle w:val="AralkYok"/>
              <w:rPr>
                <w:sz w:val="28"/>
                <w:szCs w:val="28"/>
                <w:lang w:eastAsia="tr-TR"/>
              </w:rPr>
            </w:pPr>
            <w:r w:rsidRPr="00E46A5D">
              <w:rPr>
                <w:sz w:val="28"/>
                <w:szCs w:val="28"/>
                <w:lang w:eastAsia="tr-TR"/>
              </w:rPr>
              <w:t> </w:t>
            </w:r>
          </w:p>
        </w:tc>
      </w:tr>
      <w:tr w:rsidR="00E46A5D" w:rsidRPr="00E46A5D" w:rsidTr="00E46A5D">
        <w:tc>
          <w:tcPr>
            <w:tcW w:w="1215" w:type="dxa"/>
            <w:tcBorders>
              <w:top w:val="nil"/>
              <w:left w:val="nil"/>
              <w:bottom w:val="nil"/>
              <w:right w:val="nil"/>
            </w:tcBorders>
            <w:shd w:val="clear" w:color="auto" w:fill="FFFFFF"/>
            <w:vAlign w:val="center"/>
            <w:hideMark/>
          </w:tcPr>
          <w:p w:rsidR="00E46A5D" w:rsidRPr="00E46A5D" w:rsidRDefault="00E46A5D" w:rsidP="00E46A5D">
            <w:pPr>
              <w:pStyle w:val="AralkYok"/>
              <w:rPr>
                <w:sz w:val="28"/>
                <w:szCs w:val="28"/>
                <w:lang w:eastAsia="tr-TR"/>
              </w:rPr>
            </w:pPr>
            <w:r w:rsidRPr="00E46A5D">
              <w:rPr>
                <w:sz w:val="28"/>
                <w:szCs w:val="28"/>
                <w:lang w:eastAsia="tr-TR"/>
              </w:rPr>
              <w:t> </w:t>
            </w:r>
          </w:p>
        </w:tc>
        <w:tc>
          <w:tcPr>
            <w:tcW w:w="233" w:type="dxa"/>
            <w:tcBorders>
              <w:top w:val="nil"/>
              <w:left w:val="nil"/>
              <w:bottom w:val="nil"/>
              <w:right w:val="nil"/>
            </w:tcBorders>
            <w:shd w:val="clear" w:color="auto" w:fill="FFFFFF"/>
            <w:vAlign w:val="center"/>
            <w:hideMark/>
          </w:tcPr>
          <w:p w:rsidR="00E46A5D" w:rsidRPr="00E46A5D" w:rsidRDefault="00E46A5D" w:rsidP="00E46A5D">
            <w:pPr>
              <w:pStyle w:val="AralkYok"/>
              <w:rPr>
                <w:sz w:val="28"/>
                <w:szCs w:val="28"/>
                <w:lang w:eastAsia="tr-TR"/>
              </w:rPr>
            </w:pPr>
            <w:r w:rsidRPr="00E46A5D">
              <w:rPr>
                <w:sz w:val="28"/>
                <w:szCs w:val="28"/>
                <w:lang w:eastAsia="tr-TR"/>
              </w:rPr>
              <w:t> </w:t>
            </w:r>
          </w:p>
        </w:tc>
        <w:tc>
          <w:tcPr>
            <w:tcW w:w="5459" w:type="dxa"/>
            <w:tcBorders>
              <w:top w:val="nil"/>
              <w:left w:val="nil"/>
              <w:bottom w:val="nil"/>
              <w:right w:val="nil"/>
            </w:tcBorders>
            <w:shd w:val="clear" w:color="auto" w:fill="FFFFFF"/>
            <w:vAlign w:val="center"/>
            <w:hideMark/>
          </w:tcPr>
          <w:p w:rsidR="00E46A5D" w:rsidRPr="00E46A5D" w:rsidRDefault="00E46A5D" w:rsidP="00E46A5D">
            <w:pPr>
              <w:pStyle w:val="AralkYok"/>
              <w:rPr>
                <w:sz w:val="28"/>
                <w:szCs w:val="28"/>
                <w:lang w:eastAsia="tr-TR"/>
              </w:rPr>
            </w:pPr>
            <w:r w:rsidRPr="00E46A5D">
              <w:rPr>
                <w:sz w:val="28"/>
                <w:szCs w:val="28"/>
                <w:lang w:eastAsia="tr-TR"/>
              </w:rPr>
              <w:t> </w:t>
            </w:r>
          </w:p>
        </w:tc>
        <w:tc>
          <w:tcPr>
            <w:tcW w:w="360" w:type="dxa"/>
            <w:tcBorders>
              <w:top w:val="nil"/>
              <w:left w:val="nil"/>
              <w:bottom w:val="nil"/>
              <w:right w:val="nil"/>
            </w:tcBorders>
            <w:shd w:val="clear" w:color="auto" w:fill="FFFFFF"/>
            <w:vAlign w:val="center"/>
            <w:hideMark/>
          </w:tcPr>
          <w:p w:rsidR="00E46A5D" w:rsidRPr="00E46A5D" w:rsidRDefault="00E46A5D" w:rsidP="00E46A5D">
            <w:pPr>
              <w:pStyle w:val="AralkYok"/>
              <w:rPr>
                <w:sz w:val="28"/>
                <w:szCs w:val="28"/>
                <w:lang w:eastAsia="tr-TR"/>
              </w:rPr>
            </w:pPr>
            <w:r w:rsidRPr="00E46A5D">
              <w:rPr>
                <w:sz w:val="28"/>
                <w:szCs w:val="28"/>
                <w:lang w:eastAsia="tr-TR"/>
              </w:rPr>
              <w:t> </w:t>
            </w:r>
          </w:p>
        </w:tc>
        <w:tc>
          <w:tcPr>
            <w:tcW w:w="3365" w:type="dxa"/>
            <w:tcBorders>
              <w:top w:val="nil"/>
              <w:left w:val="nil"/>
              <w:bottom w:val="nil"/>
              <w:right w:val="nil"/>
            </w:tcBorders>
            <w:shd w:val="clear" w:color="auto" w:fill="FFFFFF"/>
            <w:vAlign w:val="center"/>
            <w:hideMark/>
          </w:tcPr>
          <w:p w:rsidR="00E46A5D" w:rsidRPr="00E46A5D" w:rsidRDefault="00E46A5D" w:rsidP="00E46A5D">
            <w:pPr>
              <w:pStyle w:val="AralkYok"/>
              <w:rPr>
                <w:sz w:val="28"/>
                <w:szCs w:val="28"/>
                <w:lang w:eastAsia="tr-TR"/>
              </w:rPr>
            </w:pPr>
            <w:r w:rsidRPr="00E46A5D">
              <w:rPr>
                <w:sz w:val="28"/>
                <w:szCs w:val="28"/>
                <w:lang w:eastAsia="tr-TR"/>
              </w:rPr>
              <w:t> </w:t>
            </w:r>
          </w:p>
        </w:tc>
      </w:tr>
    </w:tbl>
    <w:p w:rsidR="00E46A5D" w:rsidRPr="00E46A5D" w:rsidRDefault="00E46A5D" w:rsidP="00E46A5D">
      <w:pPr>
        <w:pStyle w:val="AralkYok"/>
        <w:rPr>
          <w:sz w:val="28"/>
          <w:szCs w:val="28"/>
          <w:lang w:eastAsia="tr-TR"/>
        </w:rPr>
      </w:pPr>
      <w:r w:rsidRPr="00E46A5D">
        <w:rPr>
          <w:sz w:val="28"/>
          <w:szCs w:val="28"/>
          <w:lang w:eastAsia="tr-TR"/>
        </w:rPr>
        <w:t> </w:t>
      </w:r>
    </w:p>
    <w:p w:rsidR="00E46A5D" w:rsidRPr="00E46A5D" w:rsidRDefault="00E46A5D" w:rsidP="00E46A5D">
      <w:pPr>
        <w:pStyle w:val="AralkYok"/>
        <w:rPr>
          <w:sz w:val="28"/>
          <w:szCs w:val="28"/>
          <w:lang w:eastAsia="tr-TR"/>
        </w:rPr>
      </w:pPr>
      <w:r w:rsidRPr="00E46A5D">
        <w:rPr>
          <w:sz w:val="28"/>
          <w:szCs w:val="28"/>
          <w:lang w:eastAsia="tr-TR"/>
        </w:rPr>
        <w:t> </w:t>
      </w:r>
    </w:p>
    <w:p w:rsidR="00E46A5D" w:rsidRPr="00E46A5D" w:rsidRDefault="00E46A5D" w:rsidP="00E46A5D">
      <w:pPr>
        <w:shd w:val="clear" w:color="auto" w:fill="FFFFFF"/>
        <w:spacing w:after="150" w:line="240" w:lineRule="auto"/>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 </w:t>
      </w:r>
    </w:p>
    <w:tbl>
      <w:tblPr>
        <w:tblW w:w="13035" w:type="dxa"/>
        <w:shd w:val="clear" w:color="auto" w:fill="FFFFFF"/>
        <w:tblCellMar>
          <w:left w:w="0" w:type="dxa"/>
          <w:right w:w="0" w:type="dxa"/>
        </w:tblCellMar>
        <w:tblLook w:val="04A0" w:firstRow="1" w:lastRow="0" w:firstColumn="1" w:lastColumn="0" w:noHBand="0" w:noVBand="1"/>
      </w:tblPr>
      <w:tblGrid>
        <w:gridCol w:w="938"/>
        <w:gridCol w:w="170"/>
        <w:gridCol w:w="11927"/>
      </w:tblGrid>
      <w:tr w:rsidR="00E46A5D" w:rsidRPr="00E46A5D" w:rsidTr="00E46A5D">
        <w:tc>
          <w:tcPr>
            <w:tcW w:w="660" w:type="dxa"/>
            <w:tcBorders>
              <w:top w:val="nil"/>
              <w:left w:val="nil"/>
              <w:bottom w:val="nil"/>
              <w:right w:val="nil"/>
            </w:tcBorders>
            <w:shd w:val="clear" w:color="auto" w:fill="FFFFFF"/>
            <w:hideMark/>
          </w:tcPr>
          <w:p w:rsidR="00E46A5D" w:rsidRPr="00E46A5D" w:rsidRDefault="00E46A5D" w:rsidP="00E46A5D">
            <w:pPr>
              <w:spacing w:after="150" w:line="240" w:lineRule="auto"/>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İlgi</w:t>
            </w:r>
          </w:p>
        </w:tc>
        <w:tc>
          <w:tcPr>
            <w:tcW w:w="120" w:type="dxa"/>
            <w:tcBorders>
              <w:top w:val="nil"/>
              <w:left w:val="nil"/>
              <w:bottom w:val="nil"/>
              <w:right w:val="nil"/>
            </w:tcBorders>
            <w:shd w:val="clear" w:color="auto" w:fill="FFFFFF"/>
            <w:hideMark/>
          </w:tcPr>
          <w:p w:rsidR="00E46A5D" w:rsidRPr="00E46A5D" w:rsidRDefault="00E46A5D" w:rsidP="00E46A5D">
            <w:pPr>
              <w:spacing w:after="150" w:line="240" w:lineRule="auto"/>
              <w:jc w:val="center"/>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w:t>
            </w:r>
          </w:p>
        </w:tc>
        <w:tc>
          <w:tcPr>
            <w:tcW w:w="8400" w:type="dxa"/>
            <w:tcBorders>
              <w:top w:val="nil"/>
              <w:left w:val="nil"/>
              <w:bottom w:val="nil"/>
              <w:right w:val="nil"/>
            </w:tcBorders>
            <w:shd w:val="clear" w:color="auto" w:fill="FFFFFF"/>
            <w:hideMark/>
          </w:tcPr>
          <w:p w:rsidR="00E46A5D" w:rsidRPr="00E46A5D" w:rsidRDefault="00E46A5D" w:rsidP="00E46A5D">
            <w:pPr>
              <w:spacing w:after="150" w:line="240" w:lineRule="auto"/>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 xml:space="preserve">04.01.2017 evrak kayıt tarihli </w:t>
            </w:r>
            <w:proofErr w:type="spellStart"/>
            <w:r w:rsidRPr="00E46A5D">
              <w:rPr>
                <w:rFonts w:ascii="Arial" w:eastAsia="Times New Roman" w:hAnsi="Arial" w:cs="Arial"/>
                <w:color w:val="494949"/>
                <w:sz w:val="28"/>
                <w:szCs w:val="28"/>
                <w:lang w:eastAsia="tr-TR"/>
              </w:rPr>
              <w:t>özelge</w:t>
            </w:r>
            <w:proofErr w:type="spellEnd"/>
            <w:r w:rsidRPr="00E46A5D">
              <w:rPr>
                <w:rFonts w:ascii="Arial" w:eastAsia="Times New Roman" w:hAnsi="Arial" w:cs="Arial"/>
                <w:color w:val="494949"/>
                <w:sz w:val="28"/>
                <w:szCs w:val="28"/>
                <w:lang w:eastAsia="tr-TR"/>
              </w:rPr>
              <w:t xml:space="preserve"> talep formunuz.</w:t>
            </w:r>
          </w:p>
        </w:tc>
      </w:tr>
    </w:tbl>
    <w:p w:rsidR="00E46A5D" w:rsidRPr="00E46A5D" w:rsidRDefault="00E46A5D" w:rsidP="00E46A5D">
      <w:pPr>
        <w:shd w:val="clear" w:color="auto" w:fill="FFFFFF"/>
        <w:spacing w:before="240" w:after="150" w:line="240" w:lineRule="auto"/>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 </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 xml:space="preserve">İlgide kayıtlı talep formunuzda, harita ve kadastro hizmetinden dolayı vergi mükellefi olduğunuzu, …’ya hizmet verdiğinizi, serbest meslek mensubuna ait makbuzu kesip serbest meslek kazancı üzerinden 9/10 oranında </w:t>
      </w:r>
      <w:proofErr w:type="spellStart"/>
      <w:r w:rsidRPr="00E46A5D">
        <w:rPr>
          <w:rFonts w:ascii="Arial" w:eastAsia="Times New Roman" w:hAnsi="Arial" w:cs="Arial"/>
          <w:color w:val="494949"/>
          <w:sz w:val="28"/>
          <w:szCs w:val="28"/>
          <w:lang w:eastAsia="tr-TR"/>
        </w:rPr>
        <w:t>tevkifat</w:t>
      </w:r>
      <w:proofErr w:type="spellEnd"/>
      <w:r w:rsidRPr="00E46A5D">
        <w:rPr>
          <w:rFonts w:ascii="Arial" w:eastAsia="Times New Roman" w:hAnsi="Arial" w:cs="Arial"/>
          <w:color w:val="494949"/>
          <w:sz w:val="28"/>
          <w:szCs w:val="28"/>
          <w:lang w:eastAsia="tr-TR"/>
        </w:rPr>
        <w:t xml:space="preserve"> uyguladığınızı, ancak gelir vergisi yönünden de </w:t>
      </w:r>
      <w:proofErr w:type="spellStart"/>
      <w:r w:rsidRPr="00E46A5D">
        <w:rPr>
          <w:rFonts w:ascii="Arial" w:eastAsia="Times New Roman" w:hAnsi="Arial" w:cs="Arial"/>
          <w:color w:val="494949"/>
          <w:sz w:val="28"/>
          <w:szCs w:val="28"/>
          <w:lang w:eastAsia="tr-TR"/>
        </w:rPr>
        <w:t>tevkifat</w:t>
      </w:r>
      <w:proofErr w:type="spellEnd"/>
      <w:r w:rsidRPr="00E46A5D">
        <w:rPr>
          <w:rFonts w:ascii="Arial" w:eastAsia="Times New Roman" w:hAnsi="Arial" w:cs="Arial"/>
          <w:color w:val="494949"/>
          <w:sz w:val="28"/>
          <w:szCs w:val="28"/>
          <w:lang w:eastAsia="tr-TR"/>
        </w:rPr>
        <w:t xml:space="preserve"> </w:t>
      </w:r>
      <w:proofErr w:type="gramStart"/>
      <w:r w:rsidRPr="00E46A5D">
        <w:rPr>
          <w:rFonts w:ascii="Arial" w:eastAsia="Times New Roman" w:hAnsi="Arial" w:cs="Arial"/>
          <w:color w:val="494949"/>
          <w:sz w:val="28"/>
          <w:szCs w:val="28"/>
          <w:lang w:eastAsia="tr-TR"/>
        </w:rPr>
        <w:t>yapmanızı</w:t>
      </w:r>
      <w:proofErr w:type="gramEnd"/>
      <w:r w:rsidRPr="00E46A5D">
        <w:rPr>
          <w:rFonts w:ascii="Arial" w:eastAsia="Times New Roman" w:hAnsi="Arial" w:cs="Arial"/>
          <w:color w:val="494949"/>
          <w:sz w:val="28"/>
          <w:szCs w:val="28"/>
          <w:lang w:eastAsia="tr-TR"/>
        </w:rPr>
        <w:t xml:space="preserve"> istediklerinden bahisle serbest meslek makbuzu üzerinden aynı anda 9/10 oranında KDV </w:t>
      </w:r>
      <w:proofErr w:type="spellStart"/>
      <w:r w:rsidRPr="00E46A5D">
        <w:rPr>
          <w:rFonts w:ascii="Arial" w:eastAsia="Times New Roman" w:hAnsi="Arial" w:cs="Arial"/>
          <w:color w:val="494949"/>
          <w:sz w:val="28"/>
          <w:szCs w:val="28"/>
          <w:lang w:eastAsia="tr-TR"/>
        </w:rPr>
        <w:t>tevkifatı</w:t>
      </w:r>
      <w:proofErr w:type="spellEnd"/>
      <w:r w:rsidRPr="00E46A5D">
        <w:rPr>
          <w:rFonts w:ascii="Arial" w:eastAsia="Times New Roman" w:hAnsi="Arial" w:cs="Arial"/>
          <w:color w:val="494949"/>
          <w:sz w:val="28"/>
          <w:szCs w:val="28"/>
          <w:lang w:eastAsia="tr-TR"/>
        </w:rPr>
        <w:t xml:space="preserve"> yaptıktan sonra tekrar gelir vergisi yönünde de %20 oranında stopaj kesip kesemeyeceğiniz hususunda bilgi verilmesi istenilmektedir.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3065 sayılı Katma Değer Vergisi Kanununun 9 uncu maddesi ile gerekli görülen hallerde vergi alacağının emniyet altına alınması amacıyla vergiye tabi işlemlere taraf olanların vergi alacağının ödenmesinden sorumlu tutma konusunda Bakanlığımıza yetki verilmiştir.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proofErr w:type="gramStart"/>
      <w:r w:rsidRPr="00E46A5D">
        <w:rPr>
          <w:rFonts w:ascii="Arial" w:eastAsia="Times New Roman" w:hAnsi="Arial" w:cs="Arial"/>
          <w:color w:val="494949"/>
          <w:sz w:val="28"/>
          <w:szCs w:val="28"/>
          <w:lang w:eastAsia="tr-TR"/>
        </w:rPr>
        <w:t>Bu yetkiye dayanarak yayımlanan KDV Genel Uygulama Tebliğinin "I/C-2.1.3.2.2. Etüt, Plan-Proje, Danışmanlık, Denetim ve Benzeri Hizmetler" başlıklı bölümünde, Tebliğin (I/C-2.1.3.1/b) ayırımında sayılanlara karşı ifa edilen </w:t>
      </w:r>
      <w:r w:rsidRPr="00E46A5D">
        <w:rPr>
          <w:rFonts w:ascii="Arial" w:eastAsia="Times New Roman" w:hAnsi="Arial" w:cs="Arial"/>
          <w:color w:val="494949"/>
          <w:sz w:val="28"/>
          <w:szCs w:val="28"/>
          <w:u w:val="single"/>
          <w:lang w:eastAsia="tr-TR"/>
        </w:rPr>
        <w:t>etüt, plan-proje</w:t>
      </w:r>
      <w:r w:rsidRPr="00E46A5D">
        <w:rPr>
          <w:rFonts w:ascii="Arial" w:eastAsia="Times New Roman" w:hAnsi="Arial" w:cs="Arial"/>
          <w:color w:val="494949"/>
          <w:sz w:val="28"/>
          <w:szCs w:val="28"/>
          <w:lang w:eastAsia="tr-TR"/>
        </w:rPr>
        <w:t xml:space="preserve">, danışmanlık, denetim ve benzeri hizmetlerde alıcılar tarafından (9/10) oranında KDV </w:t>
      </w:r>
      <w:proofErr w:type="spellStart"/>
      <w:r w:rsidRPr="00E46A5D">
        <w:rPr>
          <w:rFonts w:ascii="Arial" w:eastAsia="Times New Roman" w:hAnsi="Arial" w:cs="Arial"/>
          <w:color w:val="494949"/>
          <w:sz w:val="28"/>
          <w:szCs w:val="28"/>
          <w:lang w:eastAsia="tr-TR"/>
        </w:rPr>
        <w:t>tevkifatı</w:t>
      </w:r>
      <w:proofErr w:type="spellEnd"/>
      <w:r w:rsidRPr="00E46A5D">
        <w:rPr>
          <w:rFonts w:ascii="Arial" w:eastAsia="Times New Roman" w:hAnsi="Arial" w:cs="Arial"/>
          <w:color w:val="494949"/>
          <w:sz w:val="28"/>
          <w:szCs w:val="28"/>
          <w:lang w:eastAsia="tr-TR"/>
        </w:rPr>
        <w:t xml:space="preserve"> uygulanacağı belirtilmiştir.</w:t>
      </w:r>
      <w:proofErr w:type="gramEnd"/>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proofErr w:type="gramStart"/>
      <w:r w:rsidRPr="00E46A5D">
        <w:rPr>
          <w:rFonts w:ascii="Arial" w:eastAsia="Times New Roman" w:hAnsi="Arial" w:cs="Arial"/>
          <w:color w:val="494949"/>
          <w:sz w:val="28"/>
          <w:szCs w:val="28"/>
          <w:lang w:eastAsia="tr-TR"/>
        </w:rPr>
        <w:t xml:space="preserve">Buna göre, yapım işinden bağımsız ve ayrı olarak verilen harita ve kadastro hazırlama hizmetini KDV Genel Uygulama Tebliğinin (I/C-2.1.3.1/b) ayırımında sayılanlara karşı ifa etmeniz halinde, söz konusu Tebliğin (I/C-2.1.3.2.2.) bölümü kapsamında serbest meslek mensubuna ait makbuzu kesip serbest meslek kazancına ait katma değer vergisinin 9/10 oranında KDV </w:t>
      </w:r>
      <w:proofErr w:type="spellStart"/>
      <w:r w:rsidRPr="00E46A5D">
        <w:rPr>
          <w:rFonts w:ascii="Arial" w:eastAsia="Times New Roman" w:hAnsi="Arial" w:cs="Arial"/>
          <w:color w:val="494949"/>
          <w:sz w:val="28"/>
          <w:szCs w:val="28"/>
          <w:lang w:eastAsia="tr-TR"/>
        </w:rPr>
        <w:t>tevkifatına</w:t>
      </w:r>
      <w:proofErr w:type="spellEnd"/>
      <w:r w:rsidRPr="00E46A5D">
        <w:rPr>
          <w:rFonts w:ascii="Arial" w:eastAsia="Times New Roman" w:hAnsi="Arial" w:cs="Arial"/>
          <w:color w:val="494949"/>
          <w:sz w:val="28"/>
          <w:szCs w:val="28"/>
          <w:lang w:eastAsia="tr-TR"/>
        </w:rPr>
        <w:t xml:space="preserve"> tabi tutulması gerekmektedir. </w:t>
      </w:r>
      <w:proofErr w:type="gramEnd"/>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lastRenderedPageBreak/>
        <w:t>193 sayılı Gelir Vergisi Kanununun;</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65 inci maddesinde ise </w:t>
      </w:r>
      <w:r w:rsidRPr="00E46A5D">
        <w:rPr>
          <w:rFonts w:ascii="Arial" w:eastAsia="Times New Roman" w:hAnsi="Arial" w:cs="Arial"/>
          <w:i/>
          <w:iCs/>
          <w:color w:val="494949"/>
          <w:sz w:val="28"/>
          <w:szCs w:val="28"/>
          <w:lang w:eastAsia="tr-TR"/>
        </w:rPr>
        <w:t>"Her türlü serbest meslek faaliyetinden doğan kazançlar serbest meslek kazancıdır.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i/>
          <w:iCs/>
          <w:color w:val="494949"/>
          <w:sz w:val="28"/>
          <w:szCs w:val="28"/>
          <w:lang w:eastAsia="tr-TR"/>
        </w:rPr>
        <w:t>Serbest meslek faaliyeti; sermayeden ziyade şahsi mesaiye, ilmi veya mesleki bilgiye veya ihtisasa dayanan ve ticari mahiyette olmayan işlerin işverene tabi olmaksızın şahsi sorumluluk altında kendi nam ve hesabına yapılmasıdır..."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proofErr w:type="gramStart"/>
      <w:r w:rsidRPr="00E46A5D">
        <w:rPr>
          <w:rFonts w:ascii="Arial" w:eastAsia="Times New Roman" w:hAnsi="Arial" w:cs="Arial"/>
          <w:color w:val="494949"/>
          <w:sz w:val="28"/>
          <w:szCs w:val="28"/>
          <w:lang w:eastAsia="tr-TR"/>
        </w:rPr>
        <w:t>hükümleri</w:t>
      </w:r>
      <w:proofErr w:type="gramEnd"/>
      <w:r w:rsidRPr="00E46A5D">
        <w:rPr>
          <w:rFonts w:ascii="Arial" w:eastAsia="Times New Roman" w:hAnsi="Arial" w:cs="Arial"/>
          <w:color w:val="494949"/>
          <w:sz w:val="28"/>
          <w:szCs w:val="28"/>
          <w:lang w:eastAsia="tr-TR"/>
        </w:rPr>
        <w:t xml:space="preserve"> yer almaktadır.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Öte yandan, aynı Kanunun 94 üncü maddesinde; "</w:t>
      </w:r>
      <w:r w:rsidRPr="00E46A5D">
        <w:rPr>
          <w:rFonts w:ascii="Arial" w:eastAsia="Times New Roman" w:hAnsi="Arial" w:cs="Arial"/>
          <w:i/>
          <w:iCs/>
          <w:color w:val="494949"/>
          <w:sz w:val="28"/>
          <w:szCs w:val="28"/>
          <w:lang w:eastAsia="tr-TR"/>
        </w:rPr>
        <w:t xml:space="preserve">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w:t>
      </w:r>
      <w:proofErr w:type="gramStart"/>
      <w:r w:rsidRPr="00E46A5D">
        <w:rPr>
          <w:rFonts w:ascii="Arial" w:eastAsia="Times New Roman" w:hAnsi="Arial" w:cs="Arial"/>
          <w:i/>
          <w:iCs/>
          <w:color w:val="494949"/>
          <w:sz w:val="28"/>
          <w:szCs w:val="28"/>
          <w:lang w:eastAsia="tr-TR"/>
        </w:rPr>
        <w:t>dahil</w:t>
      </w:r>
      <w:proofErr w:type="gramEnd"/>
      <w:r w:rsidRPr="00E46A5D">
        <w:rPr>
          <w:rFonts w:ascii="Arial" w:eastAsia="Times New Roman" w:hAnsi="Arial" w:cs="Arial"/>
          <w:i/>
          <w:iCs/>
          <w:color w:val="494949"/>
          <w:sz w:val="28"/>
          <w:szCs w:val="28"/>
          <w:lang w:eastAsia="tr-TR"/>
        </w:rPr>
        <w:t xml:space="preserve">) nakden veya </w:t>
      </w:r>
      <w:proofErr w:type="spellStart"/>
      <w:r w:rsidRPr="00E46A5D">
        <w:rPr>
          <w:rFonts w:ascii="Arial" w:eastAsia="Times New Roman" w:hAnsi="Arial" w:cs="Arial"/>
          <w:i/>
          <w:iCs/>
          <w:color w:val="494949"/>
          <w:sz w:val="28"/>
          <w:szCs w:val="28"/>
          <w:lang w:eastAsia="tr-TR"/>
        </w:rPr>
        <w:t>hesaben</w:t>
      </w:r>
      <w:proofErr w:type="spellEnd"/>
      <w:r w:rsidRPr="00E46A5D">
        <w:rPr>
          <w:rFonts w:ascii="Arial" w:eastAsia="Times New Roman" w:hAnsi="Arial" w:cs="Arial"/>
          <w:i/>
          <w:iCs/>
          <w:color w:val="494949"/>
          <w:sz w:val="28"/>
          <w:szCs w:val="28"/>
          <w:lang w:eastAsia="tr-TR"/>
        </w:rPr>
        <w:t xml:space="preserve"> yaptıkları sırada, istihkak sahiplerinin gelir vergilerine mahsuben </w:t>
      </w:r>
      <w:proofErr w:type="spellStart"/>
      <w:r w:rsidRPr="00E46A5D">
        <w:rPr>
          <w:rFonts w:ascii="Arial" w:eastAsia="Times New Roman" w:hAnsi="Arial" w:cs="Arial"/>
          <w:i/>
          <w:iCs/>
          <w:color w:val="494949"/>
          <w:sz w:val="28"/>
          <w:szCs w:val="28"/>
          <w:lang w:eastAsia="tr-TR"/>
        </w:rPr>
        <w:t>tevkifat</w:t>
      </w:r>
      <w:proofErr w:type="spellEnd"/>
      <w:r w:rsidRPr="00E46A5D">
        <w:rPr>
          <w:rFonts w:ascii="Arial" w:eastAsia="Times New Roman" w:hAnsi="Arial" w:cs="Arial"/>
          <w:i/>
          <w:iCs/>
          <w:color w:val="494949"/>
          <w:sz w:val="28"/>
          <w:szCs w:val="28"/>
          <w:lang w:eastAsia="tr-TR"/>
        </w:rPr>
        <w:t xml:space="preserve"> yapmaya mecburdurlar.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i/>
          <w:iCs/>
          <w:color w:val="494949"/>
          <w:sz w:val="28"/>
          <w:szCs w:val="28"/>
          <w:lang w:eastAsia="tr-TR"/>
        </w:rPr>
        <w:t>...</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i/>
          <w:iCs/>
          <w:color w:val="494949"/>
          <w:sz w:val="28"/>
          <w:szCs w:val="28"/>
          <w:lang w:eastAsia="tr-TR"/>
        </w:rPr>
        <w:t>2.Yaptıkları serbest meslek işleri dolayısıyla bu işleri icra edenlere yapılan ödemelerden (Noterlere serbest meslek faaliyetlerinden dolayı yapılan ödemeler hariç);</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i/>
          <w:iCs/>
          <w:color w:val="494949"/>
          <w:sz w:val="28"/>
          <w:szCs w:val="28"/>
          <w:lang w:eastAsia="tr-TR"/>
        </w:rPr>
        <w:t>a)18'inci madde kapsamına giren serbest meslek işleri dolayısıyla yapılan ödemelerden %17,</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i/>
          <w:iCs/>
          <w:color w:val="494949"/>
          <w:sz w:val="28"/>
          <w:szCs w:val="28"/>
          <w:lang w:eastAsia="tr-TR"/>
        </w:rPr>
        <w:t>b) </w:t>
      </w:r>
      <w:r w:rsidRPr="00E46A5D">
        <w:rPr>
          <w:rFonts w:ascii="Arial" w:eastAsia="Times New Roman" w:hAnsi="Arial" w:cs="Arial"/>
          <w:i/>
          <w:iCs/>
          <w:color w:val="494949"/>
          <w:sz w:val="28"/>
          <w:szCs w:val="28"/>
          <w:u w:val="single"/>
          <w:lang w:eastAsia="tr-TR"/>
        </w:rPr>
        <w:t>Diğerlerinden %20</w:t>
      </w:r>
      <w:r w:rsidRPr="00E46A5D">
        <w:rPr>
          <w:rFonts w:ascii="Arial" w:eastAsia="Times New Roman" w:hAnsi="Arial" w:cs="Arial"/>
          <w:i/>
          <w:iCs/>
          <w:color w:val="494949"/>
          <w:sz w:val="28"/>
          <w:szCs w:val="28"/>
          <w:lang w:eastAsia="tr-TR"/>
        </w:rPr>
        <w:t> …"</w:t>
      </w:r>
      <w:r w:rsidRPr="00E46A5D">
        <w:rPr>
          <w:rFonts w:ascii="Arial" w:eastAsia="Times New Roman" w:hAnsi="Arial" w:cs="Arial"/>
          <w:color w:val="494949"/>
          <w:sz w:val="28"/>
          <w:szCs w:val="28"/>
          <w:lang w:eastAsia="tr-TR"/>
        </w:rPr>
        <w:t xml:space="preserve"> oranında vergi </w:t>
      </w:r>
      <w:proofErr w:type="spellStart"/>
      <w:r w:rsidRPr="00E46A5D">
        <w:rPr>
          <w:rFonts w:ascii="Arial" w:eastAsia="Times New Roman" w:hAnsi="Arial" w:cs="Arial"/>
          <w:color w:val="494949"/>
          <w:sz w:val="28"/>
          <w:szCs w:val="28"/>
          <w:lang w:eastAsia="tr-TR"/>
        </w:rPr>
        <w:t>tevkifatı</w:t>
      </w:r>
      <w:proofErr w:type="spellEnd"/>
      <w:r w:rsidRPr="00E46A5D">
        <w:rPr>
          <w:rFonts w:ascii="Arial" w:eastAsia="Times New Roman" w:hAnsi="Arial" w:cs="Arial"/>
          <w:color w:val="494949"/>
          <w:sz w:val="28"/>
          <w:szCs w:val="28"/>
          <w:lang w:eastAsia="tr-TR"/>
        </w:rPr>
        <w:t xml:space="preserve"> yapılacağı hükmü yer almaktadır.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 xml:space="preserve">Buna göre, harita ve kadastro hazırlama hizmetine ait KDV hariç bedel üzerinden Gelir Vergisi Kanununun 94 üncü maddesi ve 2009/14592 sayılı Bakanlar Kurulu Kararı uyarınca % 20 nispetinde gelir vergisi </w:t>
      </w:r>
      <w:proofErr w:type="spellStart"/>
      <w:r w:rsidRPr="00E46A5D">
        <w:rPr>
          <w:rFonts w:ascii="Arial" w:eastAsia="Times New Roman" w:hAnsi="Arial" w:cs="Arial"/>
          <w:color w:val="494949"/>
          <w:sz w:val="28"/>
          <w:szCs w:val="28"/>
          <w:lang w:eastAsia="tr-TR"/>
        </w:rPr>
        <w:t>tevkifatı</w:t>
      </w:r>
      <w:proofErr w:type="spellEnd"/>
      <w:r w:rsidRPr="00E46A5D">
        <w:rPr>
          <w:rFonts w:ascii="Arial" w:eastAsia="Times New Roman" w:hAnsi="Arial" w:cs="Arial"/>
          <w:color w:val="494949"/>
          <w:sz w:val="28"/>
          <w:szCs w:val="28"/>
          <w:lang w:eastAsia="tr-TR"/>
        </w:rPr>
        <w:t xml:space="preserve"> yapılması gerekmektedir. Ancak, serbest meslek kazancında tahsilat esası geçerli olduğundan gelir vergisi stopajının tahsilatın gerçekleştiği tarihte düzenlenecek serbest meslek makbuzu üzerinde yapılacağı tabiidir.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Bilgi edinilmesini rica ederim.</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 </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w:t>
      </w:r>
      <w:r w:rsidRPr="00E46A5D">
        <w:rPr>
          <w:rFonts w:ascii="Arial" w:eastAsia="Times New Roman" w:hAnsi="Arial" w:cs="Arial"/>
          <w:b/>
          <w:bCs/>
          <w:color w:val="494949"/>
          <w:sz w:val="28"/>
          <w:szCs w:val="28"/>
          <w:lang w:eastAsia="tr-TR"/>
        </w:rPr>
        <w:t>*</w:t>
      </w:r>
      <w:r w:rsidRPr="00E46A5D">
        <w:rPr>
          <w:rFonts w:ascii="Arial" w:eastAsia="Times New Roman" w:hAnsi="Arial" w:cs="Arial"/>
          <w:color w:val="494949"/>
          <w:sz w:val="28"/>
          <w:szCs w:val="28"/>
          <w:lang w:eastAsia="tr-TR"/>
        </w:rPr>
        <w:t xml:space="preserve">)     Bu </w:t>
      </w:r>
      <w:proofErr w:type="spellStart"/>
      <w:r w:rsidRPr="00E46A5D">
        <w:rPr>
          <w:rFonts w:ascii="Arial" w:eastAsia="Times New Roman" w:hAnsi="Arial" w:cs="Arial"/>
          <w:color w:val="494949"/>
          <w:sz w:val="28"/>
          <w:szCs w:val="28"/>
          <w:lang w:eastAsia="tr-TR"/>
        </w:rPr>
        <w:t>Özelge</w:t>
      </w:r>
      <w:proofErr w:type="spellEnd"/>
      <w:r w:rsidRPr="00E46A5D">
        <w:rPr>
          <w:rFonts w:ascii="Arial" w:eastAsia="Times New Roman" w:hAnsi="Arial" w:cs="Arial"/>
          <w:color w:val="494949"/>
          <w:sz w:val="28"/>
          <w:szCs w:val="28"/>
          <w:lang w:eastAsia="tr-TR"/>
        </w:rPr>
        <w:t xml:space="preserve"> 213 sayılı Vergi Usul Kanununun 413.maddesine dayanılarak verilmiştir.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lastRenderedPageBreak/>
        <w:t>(</w:t>
      </w:r>
      <w:r w:rsidRPr="00E46A5D">
        <w:rPr>
          <w:rFonts w:ascii="Arial" w:eastAsia="Times New Roman" w:hAnsi="Arial" w:cs="Arial"/>
          <w:b/>
          <w:bCs/>
          <w:color w:val="494949"/>
          <w:sz w:val="28"/>
          <w:szCs w:val="28"/>
          <w:lang w:eastAsia="tr-TR"/>
        </w:rPr>
        <w:t>**</w:t>
      </w:r>
      <w:r w:rsidRPr="00E46A5D">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E46A5D">
        <w:rPr>
          <w:rFonts w:ascii="Arial" w:eastAsia="Times New Roman" w:hAnsi="Arial" w:cs="Arial"/>
          <w:color w:val="494949"/>
          <w:sz w:val="28"/>
          <w:szCs w:val="28"/>
          <w:lang w:eastAsia="tr-TR"/>
        </w:rPr>
        <w:t>özelge</w:t>
      </w:r>
      <w:proofErr w:type="spellEnd"/>
      <w:r w:rsidRPr="00E46A5D">
        <w:rPr>
          <w:rFonts w:ascii="Arial" w:eastAsia="Times New Roman" w:hAnsi="Arial" w:cs="Arial"/>
          <w:color w:val="494949"/>
          <w:sz w:val="28"/>
          <w:szCs w:val="28"/>
          <w:lang w:eastAsia="tr-TR"/>
        </w:rPr>
        <w:t xml:space="preserve"> geçersizdir.</w:t>
      </w:r>
    </w:p>
    <w:p w:rsidR="00E46A5D" w:rsidRPr="00E46A5D" w:rsidRDefault="00E46A5D" w:rsidP="00E46A5D">
      <w:pPr>
        <w:shd w:val="clear" w:color="auto" w:fill="FFFFFF"/>
        <w:spacing w:after="150" w:line="240" w:lineRule="auto"/>
        <w:jc w:val="both"/>
        <w:rPr>
          <w:rFonts w:ascii="Arial" w:eastAsia="Times New Roman" w:hAnsi="Arial" w:cs="Arial"/>
          <w:color w:val="494949"/>
          <w:sz w:val="28"/>
          <w:szCs w:val="28"/>
          <w:lang w:eastAsia="tr-TR"/>
        </w:rPr>
      </w:pPr>
      <w:r w:rsidRPr="00E46A5D">
        <w:rPr>
          <w:rFonts w:ascii="Arial" w:eastAsia="Times New Roman" w:hAnsi="Arial" w:cs="Arial"/>
          <w:color w:val="494949"/>
          <w:sz w:val="28"/>
          <w:szCs w:val="28"/>
          <w:lang w:eastAsia="tr-TR"/>
        </w:rPr>
        <w:t xml:space="preserve">(***) Talebiniz üzerine tayin edilmiş olan bu </w:t>
      </w:r>
      <w:proofErr w:type="spellStart"/>
      <w:r w:rsidRPr="00E46A5D">
        <w:rPr>
          <w:rFonts w:ascii="Arial" w:eastAsia="Times New Roman" w:hAnsi="Arial" w:cs="Arial"/>
          <w:color w:val="494949"/>
          <w:sz w:val="28"/>
          <w:szCs w:val="28"/>
          <w:lang w:eastAsia="tr-TR"/>
        </w:rPr>
        <w:t>özelgeye</w:t>
      </w:r>
      <w:proofErr w:type="spellEnd"/>
      <w:r w:rsidRPr="00E46A5D">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34118B" w:rsidRPr="00E46A5D" w:rsidRDefault="0034118B">
      <w:pPr>
        <w:rPr>
          <w:sz w:val="28"/>
          <w:szCs w:val="28"/>
        </w:rPr>
      </w:pPr>
    </w:p>
    <w:sectPr w:rsidR="0034118B" w:rsidRPr="00E46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5D"/>
    <w:rsid w:val="0034118B"/>
    <w:rsid w:val="00E46A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6A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6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5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3496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2018-06-20T08:05:00Z</dcterms:created>
  <dcterms:modified xsi:type="dcterms:W3CDTF">2018-06-20T08:08:00Z</dcterms:modified>
</cp:coreProperties>
</file>