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7F" w:rsidRPr="00A63F7F" w:rsidRDefault="00A63F7F" w:rsidP="00A63F7F">
      <w:pPr>
        <w:shd w:val="clear" w:color="auto" w:fill="FFFFFF"/>
        <w:spacing w:after="96" w:line="240" w:lineRule="auto"/>
        <w:textAlignment w:val="baseline"/>
        <w:outlineLvl w:val="0"/>
        <w:rPr>
          <w:rFonts w:ascii="Roboto" w:eastAsia="Times New Roman" w:hAnsi="Roboto" w:cs="Times New Roman"/>
          <w:b/>
          <w:bCs/>
          <w:color w:val="00B0F0"/>
          <w:spacing w:val="-10"/>
          <w:kern w:val="36"/>
          <w:sz w:val="52"/>
          <w:szCs w:val="52"/>
          <w:lang w:eastAsia="tr-TR"/>
        </w:rPr>
      </w:pPr>
      <w:r w:rsidRPr="00A63F7F">
        <w:rPr>
          <w:rFonts w:ascii="Roboto" w:eastAsia="Times New Roman" w:hAnsi="Roboto" w:cs="Times New Roman"/>
          <w:b/>
          <w:bCs/>
          <w:color w:val="00B0F0"/>
          <w:spacing w:val="-10"/>
          <w:kern w:val="36"/>
          <w:sz w:val="52"/>
          <w:szCs w:val="52"/>
          <w:lang w:eastAsia="tr-TR"/>
        </w:rPr>
        <w:t>Emlak komisyonlarına sınırlama geldi</w:t>
      </w:r>
    </w:p>
    <w:p w:rsidR="00A63F7F" w:rsidRPr="00C029CA" w:rsidRDefault="00A63F7F" w:rsidP="00A63F7F">
      <w:pPr>
        <w:shd w:val="clear" w:color="auto" w:fill="FFFFFF"/>
        <w:spacing w:after="0" w:line="390" w:lineRule="atLeast"/>
        <w:jc w:val="both"/>
        <w:textAlignment w:val="baseline"/>
        <w:rPr>
          <w:rFonts w:ascii="Times New Roman" w:eastAsia="Times New Roman" w:hAnsi="Times New Roman" w:cs="Times New Roman"/>
          <w:color w:val="FF0000"/>
          <w:sz w:val="28"/>
          <w:szCs w:val="28"/>
          <w:lang w:eastAsia="tr-TR"/>
        </w:rPr>
      </w:pPr>
      <w:r w:rsidRPr="00C029CA">
        <w:rPr>
          <w:rFonts w:ascii="Times New Roman" w:eastAsia="Times New Roman" w:hAnsi="Times New Roman" w:cs="Times New Roman"/>
          <w:b/>
          <w:bCs/>
          <w:color w:val="FF0000"/>
          <w:sz w:val="28"/>
          <w:szCs w:val="28"/>
          <w:bdr w:val="none" w:sz="0" w:space="0" w:color="auto" w:frame="1"/>
          <w:lang w:eastAsia="tr-TR"/>
        </w:rPr>
        <w:t>Gümrük ve Ticaret Bakanlığı, taşınmaz alım, satımı ile kiralanmasında alınan emlak komisyonu oranlarını yeniden belirledi. Hizmet bedeli, alım satım işlemlerinde satış bedelinin KDV hariç yüzde 4’ünden; kiralama işlemlerinde ise kira bedelinin KDV hariç bir aylık tutarından fazla olamayacak. Emlak danışmanlığı için mesleki yeterlilik belgesi de aranacak.</w:t>
      </w:r>
    </w:p>
    <w:p w:rsidR="00A63F7F" w:rsidRPr="00C029CA" w:rsidRDefault="00A63F7F" w:rsidP="00A63F7F">
      <w:pPr>
        <w:shd w:val="clear" w:color="auto" w:fill="FFFFFF"/>
        <w:spacing w:after="300" w:line="390" w:lineRule="atLeast"/>
        <w:jc w:val="both"/>
        <w:textAlignment w:val="baseline"/>
        <w:rPr>
          <w:rFonts w:ascii="Times New Roman" w:eastAsia="Times New Roman" w:hAnsi="Times New Roman" w:cs="Times New Roman"/>
          <w:color w:val="333333"/>
          <w:sz w:val="28"/>
          <w:szCs w:val="28"/>
          <w:lang w:eastAsia="tr-TR"/>
        </w:rPr>
      </w:pPr>
      <w:r w:rsidRPr="00C029CA">
        <w:rPr>
          <w:rFonts w:ascii="Times New Roman" w:eastAsia="Times New Roman" w:hAnsi="Times New Roman" w:cs="Times New Roman"/>
          <w:color w:val="333333"/>
          <w:sz w:val="28"/>
          <w:szCs w:val="28"/>
          <w:lang w:eastAsia="tr-TR"/>
        </w:rPr>
        <w:t xml:space="preserve">Gümrük ve Ticaret Bakanlığı tarafından hazırlanan Taşınmaz Ticareti Hakkında Yönetmelik, 5 Haziran’da Resmi </w:t>
      </w:r>
      <w:proofErr w:type="spellStart"/>
      <w:r w:rsidRPr="00C029CA">
        <w:rPr>
          <w:rFonts w:ascii="Times New Roman" w:eastAsia="Times New Roman" w:hAnsi="Times New Roman" w:cs="Times New Roman"/>
          <w:color w:val="333333"/>
          <w:sz w:val="28"/>
          <w:szCs w:val="28"/>
          <w:lang w:eastAsia="tr-TR"/>
        </w:rPr>
        <w:t>Gazete’de</w:t>
      </w:r>
      <w:proofErr w:type="spellEnd"/>
      <w:r w:rsidRPr="00C029CA">
        <w:rPr>
          <w:rFonts w:ascii="Times New Roman" w:eastAsia="Times New Roman" w:hAnsi="Times New Roman" w:cs="Times New Roman"/>
          <w:color w:val="333333"/>
          <w:sz w:val="28"/>
          <w:szCs w:val="28"/>
          <w:lang w:eastAsia="tr-TR"/>
        </w:rPr>
        <w:t xml:space="preserve"> yayımlandı.</w:t>
      </w:r>
    </w:p>
    <w:p w:rsidR="00A63F7F" w:rsidRPr="00C029CA" w:rsidRDefault="00A63F7F" w:rsidP="00A63F7F">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r w:rsidRPr="00C029CA">
        <w:rPr>
          <w:rFonts w:ascii="Times New Roman" w:eastAsia="Times New Roman" w:hAnsi="Times New Roman" w:cs="Times New Roman"/>
          <w:b/>
          <w:bCs/>
          <w:color w:val="212121"/>
          <w:sz w:val="28"/>
          <w:szCs w:val="28"/>
          <w:bdr w:val="none" w:sz="0" w:space="0" w:color="auto" w:frame="1"/>
          <w:lang w:eastAsia="tr-TR"/>
        </w:rPr>
        <w:t>Yönetmelik kapsamı</w:t>
      </w:r>
    </w:p>
    <w:p w:rsidR="00A63F7F" w:rsidRPr="00C029CA" w:rsidRDefault="00A63F7F" w:rsidP="00A63F7F">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tr-TR"/>
        </w:rPr>
      </w:pPr>
      <w:proofErr w:type="gramStart"/>
      <w:r w:rsidRPr="00C029CA">
        <w:rPr>
          <w:rFonts w:ascii="Times New Roman" w:eastAsia="Times New Roman" w:hAnsi="Times New Roman" w:cs="Times New Roman"/>
          <w:color w:val="333333"/>
          <w:sz w:val="28"/>
          <w:szCs w:val="28"/>
          <w:lang w:eastAsia="tr-TR"/>
        </w:rPr>
        <w:t>6585 sayılı Perakende Ticaretin Düzenlenmesi Hakkında Kanun uyarınca</w:t>
      </w:r>
      <w:hyperlink r:id="rId5" w:history="1">
        <w:r w:rsidRPr="00C029CA">
          <w:rPr>
            <w:rFonts w:ascii="Times New Roman" w:eastAsia="Times New Roman" w:hAnsi="Times New Roman" w:cs="Times New Roman"/>
            <w:color w:val="F70D28"/>
            <w:sz w:val="28"/>
            <w:szCs w:val="28"/>
            <w:u w:val="single"/>
            <w:bdr w:val="none" w:sz="0" w:space="0" w:color="auto" w:frame="1"/>
            <w:lang w:eastAsia="tr-TR"/>
          </w:rPr>
          <w:t> taşınmaz ticaretine ilişkin usul ve esasları düzenleyen yönetmelik</w:t>
        </w:r>
      </w:hyperlink>
      <w:r w:rsidRPr="00C029CA">
        <w:rPr>
          <w:rFonts w:ascii="Times New Roman" w:eastAsia="Times New Roman" w:hAnsi="Times New Roman" w:cs="Times New Roman"/>
          <w:color w:val="333333"/>
          <w:sz w:val="28"/>
          <w:szCs w:val="28"/>
          <w:lang w:eastAsia="tr-TR"/>
        </w:rPr>
        <w:t>; tapu kütüğüne kayıtlı olsun ya da olmasın taşınmaz alım satımı ve kiralanması ile tapu işlemlerine aracılık eden, taşınmazla ilgili danışmanlık ve yönetim hizmeti veren gerçek veya tüzel kişi tacirler ile esnaf ve sanatkârların mesleki faaliyetlerini, yetki belgesinin verilmesi, yenilenmesi, askıya alınması ve iptaline ilişkin usul ve esasları, taşınmaz ticaretiyle iştigal eden işletmelerde aranan şartları, bu işletmelerin faaliyetlerine ilişkin yükümlülüklerini ve Bakanlık, yetkili idareler ile ilgili diğer kurum ve kuruluşların taşınmaz ticaretine ilişkin görev, yetki ve sorumluluklarını kapsıyor.</w:t>
      </w:r>
      <w:proofErr w:type="gramEnd"/>
    </w:p>
    <w:p w:rsidR="00A63F7F" w:rsidRPr="00C029CA" w:rsidRDefault="00A63F7F" w:rsidP="00A63F7F">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r w:rsidRPr="00C029CA">
        <w:rPr>
          <w:rFonts w:ascii="Times New Roman" w:eastAsia="Times New Roman" w:hAnsi="Times New Roman" w:cs="Times New Roman"/>
          <w:b/>
          <w:bCs/>
          <w:color w:val="212121"/>
          <w:sz w:val="28"/>
          <w:szCs w:val="28"/>
          <w:bdr w:val="none" w:sz="0" w:space="0" w:color="auto" w:frame="1"/>
          <w:lang w:eastAsia="tr-TR"/>
        </w:rPr>
        <w:t>Kimler emlakçılık yapabilecek?</w:t>
      </w:r>
    </w:p>
    <w:p w:rsidR="00A63F7F" w:rsidRPr="00C029CA" w:rsidRDefault="00A63F7F" w:rsidP="00A63F7F">
      <w:pPr>
        <w:shd w:val="clear" w:color="auto" w:fill="FFFFFF"/>
        <w:spacing w:after="300" w:line="390" w:lineRule="atLeast"/>
        <w:jc w:val="both"/>
        <w:textAlignment w:val="baseline"/>
        <w:rPr>
          <w:rFonts w:ascii="Times New Roman" w:eastAsia="Times New Roman" w:hAnsi="Times New Roman" w:cs="Times New Roman"/>
          <w:color w:val="333333"/>
          <w:sz w:val="28"/>
          <w:szCs w:val="28"/>
          <w:lang w:eastAsia="tr-TR"/>
        </w:rPr>
      </w:pPr>
      <w:r w:rsidRPr="00C029CA">
        <w:rPr>
          <w:rFonts w:ascii="Times New Roman" w:eastAsia="Times New Roman" w:hAnsi="Times New Roman" w:cs="Times New Roman"/>
          <w:color w:val="333333"/>
          <w:sz w:val="28"/>
          <w:szCs w:val="28"/>
          <w:lang w:eastAsia="tr-TR"/>
        </w:rPr>
        <w:t>Buna göre, taşınmaz ticareti, işletmesi adına yetki belgesi alan tacirler veya esnaf ve sanatkârlar tarafından yapılacak. Yetki belgesinin geçerlilik süresi beş yıl olacak.</w:t>
      </w:r>
    </w:p>
    <w:p w:rsidR="00A63F7F" w:rsidRPr="00C029CA" w:rsidRDefault="00A63F7F" w:rsidP="00A63F7F">
      <w:pPr>
        <w:shd w:val="clear" w:color="auto" w:fill="FFFFFF"/>
        <w:spacing w:after="300" w:line="390" w:lineRule="atLeast"/>
        <w:jc w:val="both"/>
        <w:textAlignment w:val="baseline"/>
        <w:rPr>
          <w:rFonts w:ascii="Times New Roman" w:eastAsia="Times New Roman" w:hAnsi="Times New Roman" w:cs="Times New Roman"/>
          <w:color w:val="333333"/>
          <w:sz w:val="28"/>
          <w:szCs w:val="28"/>
          <w:lang w:eastAsia="tr-TR"/>
        </w:rPr>
      </w:pPr>
      <w:r w:rsidRPr="00C029CA">
        <w:rPr>
          <w:rFonts w:ascii="Times New Roman" w:eastAsia="Times New Roman" w:hAnsi="Times New Roman" w:cs="Times New Roman"/>
          <w:color w:val="333333"/>
          <w:sz w:val="28"/>
          <w:szCs w:val="28"/>
          <w:lang w:eastAsia="tr-TR"/>
        </w:rPr>
        <w:t xml:space="preserve">İşletmeye yetki belgesi verilebilmesi için yetkilinin, en az lise mezunu, iflas etmemiş, </w:t>
      </w:r>
      <w:proofErr w:type="gramStart"/>
      <w:r w:rsidRPr="00C029CA">
        <w:rPr>
          <w:rFonts w:ascii="Times New Roman" w:eastAsia="Times New Roman" w:hAnsi="Times New Roman" w:cs="Times New Roman"/>
          <w:color w:val="333333"/>
          <w:sz w:val="28"/>
          <w:szCs w:val="28"/>
          <w:lang w:eastAsia="tr-TR"/>
        </w:rPr>
        <w:t>konkordato</w:t>
      </w:r>
      <w:proofErr w:type="gramEnd"/>
      <w:r w:rsidRPr="00C029CA">
        <w:rPr>
          <w:rFonts w:ascii="Times New Roman" w:eastAsia="Times New Roman" w:hAnsi="Times New Roman" w:cs="Times New Roman"/>
          <w:color w:val="333333"/>
          <w:sz w:val="28"/>
          <w:szCs w:val="28"/>
          <w:lang w:eastAsia="tr-TR"/>
        </w:rPr>
        <w:t xml:space="preserve"> ilan etmemiş olması gerekecek. Ayrıca emlak danışmanlığı yapmak için mesleki yeterlilik belgesine de sahip olunması gerekecek.</w:t>
      </w:r>
    </w:p>
    <w:p w:rsidR="00A63F7F" w:rsidRPr="00C029CA" w:rsidRDefault="00A63F7F" w:rsidP="00A63F7F">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r w:rsidRPr="00C029CA">
        <w:rPr>
          <w:rFonts w:ascii="Times New Roman" w:eastAsia="Times New Roman" w:hAnsi="Times New Roman" w:cs="Times New Roman"/>
          <w:b/>
          <w:bCs/>
          <w:color w:val="212121"/>
          <w:sz w:val="28"/>
          <w:szCs w:val="28"/>
          <w:bdr w:val="none" w:sz="0" w:space="0" w:color="auto" w:frame="1"/>
          <w:lang w:eastAsia="tr-TR"/>
        </w:rPr>
        <w:t>Emlak ofisleri için aranacak şartlar</w:t>
      </w:r>
    </w:p>
    <w:p w:rsidR="00A63F7F" w:rsidRPr="00C029CA" w:rsidRDefault="00A63F7F" w:rsidP="00A63F7F">
      <w:pPr>
        <w:shd w:val="clear" w:color="auto" w:fill="FFFFFF"/>
        <w:spacing w:after="300" w:line="390" w:lineRule="atLeast"/>
        <w:jc w:val="both"/>
        <w:textAlignment w:val="baseline"/>
        <w:rPr>
          <w:rFonts w:ascii="Times New Roman" w:eastAsia="Times New Roman" w:hAnsi="Times New Roman" w:cs="Times New Roman"/>
          <w:color w:val="333333"/>
          <w:sz w:val="28"/>
          <w:szCs w:val="28"/>
          <w:lang w:eastAsia="tr-TR"/>
        </w:rPr>
      </w:pPr>
      <w:r w:rsidRPr="00C029CA">
        <w:rPr>
          <w:rFonts w:ascii="Times New Roman" w:eastAsia="Times New Roman" w:hAnsi="Times New Roman" w:cs="Times New Roman"/>
          <w:color w:val="333333"/>
          <w:sz w:val="28"/>
          <w:szCs w:val="28"/>
          <w:lang w:eastAsia="tr-TR"/>
        </w:rPr>
        <w:t>Emlak ofisleri için şartların da belirlendiği Yönetmelik uyarınca, işletmelerde, bağımsız bölüm niteliğinde ve net alanının en az 30 metrekare olması, arşiv bölümünün bulunması ve teknik donatılara sahip olması şartı aranacak. İşletmede taşınmaz ticaretine konu hizmetler dışında ticari faaliyette bulunulamayacak.</w:t>
      </w:r>
    </w:p>
    <w:p w:rsidR="00A63F7F" w:rsidRPr="00C029CA" w:rsidRDefault="00A63F7F" w:rsidP="00A63F7F">
      <w:pPr>
        <w:shd w:val="clear" w:color="auto" w:fill="FFFFFF"/>
        <w:spacing w:after="300" w:line="390" w:lineRule="atLeast"/>
        <w:jc w:val="both"/>
        <w:textAlignment w:val="baseline"/>
        <w:rPr>
          <w:rFonts w:ascii="Times New Roman" w:eastAsia="Times New Roman" w:hAnsi="Times New Roman" w:cs="Times New Roman"/>
          <w:color w:val="333333"/>
          <w:sz w:val="28"/>
          <w:szCs w:val="28"/>
          <w:lang w:eastAsia="tr-TR"/>
        </w:rPr>
      </w:pPr>
      <w:r w:rsidRPr="00C029CA">
        <w:rPr>
          <w:rFonts w:ascii="Times New Roman" w:eastAsia="Times New Roman" w:hAnsi="Times New Roman" w:cs="Times New Roman"/>
          <w:color w:val="333333"/>
          <w:sz w:val="28"/>
          <w:szCs w:val="28"/>
          <w:lang w:eastAsia="tr-TR"/>
        </w:rPr>
        <w:lastRenderedPageBreak/>
        <w:t>İşletmenin verdiği aracılık hizmeti sonucunda alıcı-satıcı ve kiracı-kiralayan ile işletme arasında sözleşme düzenlenecek.</w:t>
      </w:r>
    </w:p>
    <w:p w:rsidR="00A63F7F" w:rsidRPr="00C029CA" w:rsidRDefault="00A63F7F" w:rsidP="00A63F7F">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r w:rsidRPr="00C029CA">
        <w:rPr>
          <w:rFonts w:ascii="Times New Roman" w:eastAsia="Times New Roman" w:hAnsi="Times New Roman" w:cs="Times New Roman"/>
          <w:b/>
          <w:bCs/>
          <w:color w:val="212121"/>
          <w:sz w:val="28"/>
          <w:szCs w:val="28"/>
          <w:bdr w:val="none" w:sz="0" w:space="0" w:color="auto" w:frame="1"/>
          <w:lang w:eastAsia="tr-TR"/>
        </w:rPr>
        <w:t>Komisyon oranları</w:t>
      </w:r>
    </w:p>
    <w:p w:rsidR="00A63F7F" w:rsidRPr="00C029CA" w:rsidRDefault="00A63F7F" w:rsidP="00A63F7F">
      <w:pPr>
        <w:shd w:val="clear" w:color="auto" w:fill="FFFFFF"/>
        <w:spacing w:after="300" w:line="390" w:lineRule="atLeast"/>
        <w:jc w:val="both"/>
        <w:textAlignment w:val="baseline"/>
        <w:rPr>
          <w:rFonts w:ascii="Times New Roman" w:eastAsia="Times New Roman" w:hAnsi="Times New Roman" w:cs="Times New Roman"/>
          <w:color w:val="333333"/>
          <w:sz w:val="28"/>
          <w:szCs w:val="28"/>
          <w:lang w:eastAsia="tr-TR"/>
        </w:rPr>
      </w:pPr>
      <w:r w:rsidRPr="00C029CA">
        <w:rPr>
          <w:rFonts w:ascii="Times New Roman" w:eastAsia="Times New Roman" w:hAnsi="Times New Roman" w:cs="Times New Roman"/>
          <w:color w:val="333333"/>
          <w:sz w:val="28"/>
          <w:szCs w:val="28"/>
          <w:lang w:eastAsia="tr-TR"/>
        </w:rPr>
        <w:t>Taşınmaz alım satım işlemlerinde hizmet bedeli oranı, alım satıma aracılık sözleşmesinde yer alan satış bedelinin KDV hariç yüzde 4’ünden; kiralama işlemlerinde ise hizmet bedeli, kira bedelinin KDV hariç bir aylık tutarından fazla olamayacak.</w:t>
      </w:r>
    </w:p>
    <w:p w:rsidR="00A63F7F" w:rsidRPr="00C029CA" w:rsidRDefault="00A63F7F" w:rsidP="00A63F7F">
      <w:pPr>
        <w:shd w:val="clear" w:color="auto" w:fill="FFFFFF"/>
        <w:spacing w:after="300" w:line="390" w:lineRule="atLeast"/>
        <w:jc w:val="both"/>
        <w:textAlignment w:val="baseline"/>
        <w:rPr>
          <w:rFonts w:ascii="Times New Roman" w:eastAsia="Times New Roman" w:hAnsi="Times New Roman" w:cs="Times New Roman"/>
          <w:color w:val="333333"/>
          <w:sz w:val="28"/>
          <w:szCs w:val="28"/>
          <w:lang w:eastAsia="tr-TR"/>
        </w:rPr>
      </w:pPr>
      <w:r w:rsidRPr="00C029CA">
        <w:rPr>
          <w:rFonts w:ascii="Times New Roman" w:eastAsia="Times New Roman" w:hAnsi="Times New Roman" w:cs="Times New Roman"/>
          <w:color w:val="333333"/>
          <w:sz w:val="28"/>
          <w:szCs w:val="28"/>
          <w:lang w:eastAsia="tr-TR"/>
        </w:rPr>
        <w:t>Yönetmeliğin yürürlüğe girdiği tarih itibarıyla taşınmaz ticaretiyle iştigal eden tacirler ile esnaf ve sanatkârların faaliyetlerine devam edebilmeleri için durumlarını on sekiz ay içinde şartlara uygun hale getirerek yetki belgesi alması gerekecek.</w:t>
      </w:r>
    </w:p>
    <w:p w:rsidR="00A63F7F" w:rsidRPr="00C029CA" w:rsidRDefault="00A63F7F" w:rsidP="00A63F7F">
      <w:pPr>
        <w:shd w:val="clear" w:color="auto" w:fill="FFFFFF"/>
        <w:spacing w:after="300" w:line="390" w:lineRule="atLeast"/>
        <w:jc w:val="both"/>
        <w:textAlignment w:val="baseline"/>
        <w:rPr>
          <w:rFonts w:ascii="Times New Roman" w:eastAsia="Times New Roman" w:hAnsi="Times New Roman" w:cs="Times New Roman"/>
          <w:color w:val="333333"/>
          <w:sz w:val="28"/>
          <w:szCs w:val="28"/>
          <w:lang w:eastAsia="tr-TR"/>
        </w:rPr>
      </w:pPr>
      <w:r w:rsidRPr="00C029CA">
        <w:rPr>
          <w:rFonts w:ascii="Times New Roman" w:eastAsia="Times New Roman" w:hAnsi="Times New Roman" w:cs="Times New Roman"/>
          <w:color w:val="333333"/>
          <w:sz w:val="28"/>
          <w:szCs w:val="28"/>
          <w:lang w:eastAsia="tr-TR"/>
        </w:rPr>
        <w:t>İşletmenin yetki belgesine sahip olup olmadığı işyeri açma ve çalışma ruhsatı verilmeden önce yetkili idareler tarafından kontrol edilecek ve yetki belgesi olmayan işletmelere ruhsat verilmeyecek. Bu madde için 3 aylık geçiş süreci tanındı.</w:t>
      </w:r>
      <w:bookmarkStart w:id="0" w:name="_GoBack"/>
      <w:bookmarkEnd w:id="0"/>
    </w:p>
    <w:p w:rsidR="00A63F7F" w:rsidRPr="00C029CA" w:rsidRDefault="00A63F7F" w:rsidP="00A63F7F">
      <w:pPr>
        <w:shd w:val="clear" w:color="auto" w:fill="FFFFFF"/>
        <w:spacing w:line="390" w:lineRule="atLeast"/>
        <w:jc w:val="both"/>
        <w:textAlignment w:val="baseline"/>
        <w:rPr>
          <w:rFonts w:ascii="Times New Roman" w:eastAsia="Times New Roman" w:hAnsi="Times New Roman" w:cs="Times New Roman"/>
          <w:color w:val="333333"/>
          <w:sz w:val="28"/>
          <w:szCs w:val="28"/>
          <w:lang w:eastAsia="tr-TR"/>
        </w:rPr>
      </w:pPr>
      <w:r w:rsidRPr="00C029CA">
        <w:rPr>
          <w:rFonts w:ascii="Times New Roman" w:eastAsia="Times New Roman" w:hAnsi="Times New Roman" w:cs="Times New Roman"/>
          <w:color w:val="333333"/>
          <w:sz w:val="28"/>
          <w:szCs w:val="28"/>
          <w:lang w:eastAsia="tr-TR"/>
        </w:rPr>
        <w:t>Gerekli Bilgi Sistemi de üç ay içinde kurulacak.</w:t>
      </w:r>
    </w:p>
    <w:p w:rsidR="001611E1" w:rsidRPr="00C029CA" w:rsidRDefault="00A63F7F" w:rsidP="00A63F7F">
      <w:pPr>
        <w:ind w:left="3540" w:firstLine="708"/>
        <w:jc w:val="both"/>
        <w:rPr>
          <w:rFonts w:ascii="Times New Roman" w:hAnsi="Times New Roman" w:cs="Times New Roman"/>
          <w:b/>
          <w:sz w:val="28"/>
          <w:szCs w:val="28"/>
        </w:rPr>
      </w:pPr>
      <w:r w:rsidRPr="00C029CA">
        <w:rPr>
          <w:rFonts w:ascii="Times New Roman" w:hAnsi="Times New Roman" w:cs="Times New Roman"/>
          <w:b/>
          <w:sz w:val="28"/>
          <w:szCs w:val="28"/>
        </w:rPr>
        <w:t>İNAN GAYRİMENKUL</w:t>
      </w:r>
    </w:p>
    <w:p w:rsidR="00A63F7F" w:rsidRPr="00C029CA" w:rsidRDefault="00A63F7F" w:rsidP="00A63F7F">
      <w:pPr>
        <w:ind w:left="3540" w:firstLine="708"/>
        <w:jc w:val="both"/>
        <w:rPr>
          <w:rFonts w:ascii="Times New Roman" w:hAnsi="Times New Roman" w:cs="Times New Roman"/>
          <w:b/>
          <w:sz w:val="28"/>
          <w:szCs w:val="28"/>
        </w:rPr>
      </w:pPr>
      <w:r w:rsidRPr="00C029CA">
        <w:rPr>
          <w:rFonts w:ascii="Times New Roman" w:hAnsi="Times New Roman" w:cs="Times New Roman"/>
          <w:b/>
          <w:sz w:val="28"/>
          <w:szCs w:val="28"/>
        </w:rPr>
        <w:t>Yatırım Danışmanınız</w:t>
      </w:r>
      <w:proofErr w:type="gramStart"/>
      <w:r w:rsidRPr="00C029CA">
        <w:rPr>
          <w:rFonts w:ascii="Times New Roman" w:hAnsi="Times New Roman" w:cs="Times New Roman"/>
          <w:b/>
          <w:sz w:val="28"/>
          <w:szCs w:val="28"/>
        </w:rPr>
        <w:t>……</w:t>
      </w:r>
      <w:proofErr w:type="gramEnd"/>
    </w:p>
    <w:sectPr w:rsidR="00A63F7F" w:rsidRPr="00C02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7F"/>
    <w:rsid w:val="001611E1"/>
    <w:rsid w:val="005B7980"/>
    <w:rsid w:val="00A63F7F"/>
    <w:rsid w:val="00C02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63F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3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63F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3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326427">
      <w:bodyDiv w:val="1"/>
      <w:marLeft w:val="0"/>
      <w:marRight w:val="0"/>
      <w:marTop w:val="0"/>
      <w:marBottom w:val="0"/>
      <w:divBdr>
        <w:top w:val="none" w:sz="0" w:space="0" w:color="auto"/>
        <w:left w:val="none" w:sz="0" w:space="0" w:color="auto"/>
        <w:bottom w:val="none" w:sz="0" w:space="0" w:color="auto"/>
        <w:right w:val="none" w:sz="0" w:space="0" w:color="auto"/>
      </w:divBdr>
      <w:divsChild>
        <w:div w:id="1500386613">
          <w:marLeft w:val="0"/>
          <w:marRight w:val="0"/>
          <w:marTop w:val="0"/>
          <w:marBottom w:val="450"/>
          <w:divBdr>
            <w:top w:val="none" w:sz="0" w:space="0" w:color="auto"/>
            <w:left w:val="none" w:sz="0" w:space="0" w:color="auto"/>
            <w:bottom w:val="none" w:sz="0" w:space="0" w:color="auto"/>
            <w:right w:val="none" w:sz="0" w:space="0" w:color="auto"/>
          </w:divBdr>
          <w:divsChild>
            <w:div w:id="636300273">
              <w:marLeft w:val="0"/>
              <w:marRight w:val="0"/>
              <w:marTop w:val="0"/>
              <w:marBottom w:val="0"/>
              <w:divBdr>
                <w:top w:val="none" w:sz="0" w:space="0" w:color="auto"/>
                <w:left w:val="none" w:sz="0" w:space="0" w:color="auto"/>
                <w:bottom w:val="none" w:sz="0" w:space="0" w:color="auto"/>
                <w:right w:val="none" w:sz="0" w:space="0" w:color="auto"/>
              </w:divBdr>
              <w:divsChild>
                <w:div w:id="900361061">
                  <w:marLeft w:val="0"/>
                  <w:marRight w:val="0"/>
                  <w:marTop w:val="0"/>
                  <w:marBottom w:val="0"/>
                  <w:divBdr>
                    <w:top w:val="none" w:sz="0" w:space="0" w:color="auto"/>
                    <w:left w:val="none" w:sz="0" w:space="0" w:color="auto"/>
                    <w:bottom w:val="none" w:sz="0" w:space="0" w:color="auto"/>
                    <w:right w:val="none" w:sz="0" w:space="0" w:color="auto"/>
                  </w:divBdr>
                  <w:divsChild>
                    <w:div w:id="2009215229">
                      <w:marLeft w:val="0"/>
                      <w:marRight w:val="90"/>
                      <w:marTop w:val="0"/>
                      <w:marBottom w:val="0"/>
                      <w:divBdr>
                        <w:top w:val="none" w:sz="0" w:space="0" w:color="auto"/>
                        <w:left w:val="none" w:sz="0" w:space="0" w:color="auto"/>
                        <w:bottom w:val="none" w:sz="0" w:space="0" w:color="auto"/>
                        <w:right w:val="none" w:sz="0" w:space="0" w:color="auto"/>
                      </w:divBdr>
                      <w:divsChild>
                        <w:div w:id="978806828">
                          <w:marLeft w:val="0"/>
                          <w:marRight w:val="90"/>
                          <w:marTop w:val="0"/>
                          <w:marBottom w:val="0"/>
                          <w:divBdr>
                            <w:top w:val="none" w:sz="0" w:space="0" w:color="auto"/>
                            <w:left w:val="none" w:sz="0" w:space="0" w:color="auto"/>
                            <w:bottom w:val="none" w:sz="0" w:space="0" w:color="auto"/>
                            <w:right w:val="none" w:sz="0" w:space="0" w:color="auto"/>
                          </w:divBdr>
                        </w:div>
                        <w:div w:id="407187973">
                          <w:marLeft w:val="0"/>
                          <w:marRight w:val="0"/>
                          <w:marTop w:val="0"/>
                          <w:marBottom w:val="0"/>
                          <w:divBdr>
                            <w:top w:val="none" w:sz="0" w:space="0" w:color="auto"/>
                            <w:left w:val="none" w:sz="0" w:space="0" w:color="auto"/>
                            <w:bottom w:val="none" w:sz="0" w:space="0" w:color="auto"/>
                            <w:right w:val="none" w:sz="0" w:space="0" w:color="auto"/>
                          </w:divBdr>
                        </w:div>
                      </w:divsChild>
                    </w:div>
                    <w:div w:id="34341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5436">
          <w:marLeft w:val="0"/>
          <w:marRight w:val="0"/>
          <w:marTop w:val="0"/>
          <w:marBottom w:val="450"/>
          <w:divBdr>
            <w:top w:val="none" w:sz="0" w:space="0" w:color="auto"/>
            <w:left w:val="none" w:sz="0" w:space="0" w:color="auto"/>
            <w:bottom w:val="none" w:sz="0" w:space="0" w:color="auto"/>
            <w:right w:val="none" w:sz="0" w:space="0" w:color="auto"/>
          </w:divBdr>
          <w:divsChild>
            <w:div w:id="523516020">
              <w:marLeft w:val="0"/>
              <w:marRight w:val="0"/>
              <w:marTop w:val="0"/>
              <w:marBottom w:val="0"/>
              <w:divBdr>
                <w:top w:val="none" w:sz="0" w:space="0" w:color="auto"/>
                <w:left w:val="none" w:sz="0" w:space="0" w:color="auto"/>
                <w:bottom w:val="none" w:sz="0" w:space="0" w:color="auto"/>
                <w:right w:val="none" w:sz="0" w:space="0" w:color="auto"/>
              </w:divBdr>
            </w:div>
          </w:divsChild>
        </w:div>
        <w:div w:id="869531815">
          <w:marLeft w:val="0"/>
          <w:marRight w:val="0"/>
          <w:marTop w:val="0"/>
          <w:marBottom w:val="0"/>
          <w:divBdr>
            <w:top w:val="none" w:sz="0" w:space="0" w:color="auto"/>
            <w:left w:val="none" w:sz="0" w:space="0" w:color="auto"/>
            <w:bottom w:val="none" w:sz="0" w:space="0" w:color="auto"/>
            <w:right w:val="none" w:sz="0" w:space="0" w:color="auto"/>
          </w:divBdr>
          <w:divsChild>
            <w:div w:id="1528327223">
              <w:marLeft w:val="0"/>
              <w:marRight w:val="0"/>
              <w:marTop w:val="0"/>
              <w:marBottom w:val="450"/>
              <w:divBdr>
                <w:top w:val="none" w:sz="0" w:space="0" w:color="auto"/>
                <w:left w:val="none" w:sz="0" w:space="0" w:color="auto"/>
                <w:bottom w:val="none" w:sz="0" w:space="0" w:color="auto"/>
                <w:right w:val="none" w:sz="0" w:space="0" w:color="auto"/>
              </w:divBdr>
              <w:divsChild>
                <w:div w:id="204761161">
                  <w:marLeft w:val="0"/>
                  <w:marRight w:val="0"/>
                  <w:marTop w:val="0"/>
                  <w:marBottom w:val="0"/>
                  <w:divBdr>
                    <w:top w:val="none" w:sz="0" w:space="0" w:color="auto"/>
                    <w:left w:val="none" w:sz="0" w:space="0" w:color="auto"/>
                    <w:bottom w:val="none" w:sz="0" w:space="0" w:color="auto"/>
                    <w:right w:val="none" w:sz="0" w:space="0" w:color="auto"/>
                  </w:divBdr>
                  <w:divsChild>
                    <w:div w:id="1549995334">
                      <w:marLeft w:val="0"/>
                      <w:marRight w:val="225"/>
                      <w:marTop w:val="0"/>
                      <w:marBottom w:val="0"/>
                      <w:divBdr>
                        <w:top w:val="none" w:sz="0" w:space="0" w:color="auto"/>
                        <w:left w:val="none" w:sz="0" w:space="0" w:color="auto"/>
                        <w:bottom w:val="none" w:sz="0" w:space="0" w:color="auto"/>
                        <w:right w:val="none" w:sz="0" w:space="0" w:color="auto"/>
                      </w:divBdr>
                      <w:divsChild>
                        <w:div w:id="446850848">
                          <w:marLeft w:val="0"/>
                          <w:marRight w:val="0"/>
                          <w:marTop w:val="0"/>
                          <w:marBottom w:val="0"/>
                          <w:divBdr>
                            <w:top w:val="none" w:sz="0" w:space="0" w:color="auto"/>
                            <w:left w:val="none" w:sz="0" w:space="0" w:color="auto"/>
                            <w:bottom w:val="none" w:sz="0" w:space="0" w:color="auto"/>
                            <w:right w:val="none" w:sz="0" w:space="0" w:color="auto"/>
                          </w:divBdr>
                        </w:div>
                      </w:divsChild>
                    </w:div>
                    <w:div w:id="875964189">
                      <w:marLeft w:val="0"/>
                      <w:marRight w:val="225"/>
                      <w:marTop w:val="0"/>
                      <w:marBottom w:val="0"/>
                      <w:divBdr>
                        <w:top w:val="none" w:sz="0" w:space="0" w:color="auto"/>
                        <w:left w:val="none" w:sz="0" w:space="0" w:color="auto"/>
                        <w:bottom w:val="none" w:sz="0" w:space="0" w:color="auto"/>
                        <w:right w:val="none" w:sz="0" w:space="0" w:color="auto"/>
                      </w:divBdr>
                      <w:divsChild>
                        <w:div w:id="8120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301">
          <w:marLeft w:val="0"/>
          <w:marRight w:val="0"/>
          <w:marTop w:val="0"/>
          <w:marBottom w:val="450"/>
          <w:divBdr>
            <w:top w:val="none" w:sz="0" w:space="0" w:color="auto"/>
            <w:left w:val="none" w:sz="0" w:space="0" w:color="auto"/>
            <w:bottom w:val="none" w:sz="0" w:space="0" w:color="auto"/>
            <w:right w:val="none" w:sz="0" w:space="0" w:color="auto"/>
          </w:divBdr>
          <w:divsChild>
            <w:div w:id="3016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8/06/20180605-9.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2018-09-03T08:17:00Z</dcterms:created>
  <dcterms:modified xsi:type="dcterms:W3CDTF">2018-09-06T10:33:00Z</dcterms:modified>
</cp:coreProperties>
</file>