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43" w:rsidRPr="00BB4643" w:rsidRDefault="00BB4643" w:rsidP="00BB4643">
      <w:pPr>
        <w:pBdr>
          <w:bottom w:val="single" w:sz="6" w:space="15" w:color="DDDDDD"/>
        </w:pBdr>
        <w:spacing w:after="450" w:line="420" w:lineRule="atLeast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</w:pPr>
      <w:r w:rsidRPr="00BB4643"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  <w:t>488 SAYILI DAMGA VERGİSİ KANUNUNDA YER ALAN VERGİSEL TEŞVİKLER</w:t>
      </w:r>
    </w:p>
    <w:p w:rsidR="0011273F" w:rsidRPr="00D522DE" w:rsidRDefault="00BB4643" w:rsidP="00D522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522DE">
        <w:rPr>
          <w:rFonts w:ascii="Times New Roman" w:hAnsi="Times New Roman" w:cs="Times New Roman"/>
          <w:color w:val="6F6F6F"/>
          <w:sz w:val="28"/>
          <w:szCs w:val="28"/>
          <w:shd w:val="clear" w:color="auto" w:fill="FFFFFF"/>
        </w:rPr>
        <w:t>Bankalar, yurt dışı kredi kuruluşları ve uluslararası kurumlarca kullandırılacak (6322 sayılı kanunun 17.maddesiyle değişen ibare; Yürürlük 15.06.2012) kredilere, bunların teminatlarına ve geri ödenmelerine ilişkin kâğıtlar ile bu kâğıtlar üzerine konulacak şerhler (kredilerin kullanımları hariç) damga vergisinden istisnadır. </w:t>
      </w:r>
      <w:r w:rsidRPr="00D522DE">
        <w:rPr>
          <w:rStyle w:val="Gl"/>
          <w:rFonts w:ascii="Times New Roman" w:hAnsi="Times New Roman" w:cs="Times New Roman"/>
          <w:color w:val="6F6F6F"/>
          <w:sz w:val="28"/>
          <w:szCs w:val="28"/>
          <w:shd w:val="clear" w:color="auto" w:fill="FFFFFF"/>
        </w:rPr>
        <w:t>(DVK, 2 sayılı tablo IV–23)</w:t>
      </w:r>
      <w:bookmarkEnd w:id="0"/>
    </w:p>
    <w:sectPr w:rsidR="0011273F" w:rsidRPr="00D52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3"/>
    <w:rsid w:val="0011273F"/>
    <w:rsid w:val="00BB4643"/>
    <w:rsid w:val="00D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B46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B4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2018-09-06T11:24:00Z</dcterms:created>
  <dcterms:modified xsi:type="dcterms:W3CDTF">2018-09-06T11:49:00Z</dcterms:modified>
</cp:coreProperties>
</file>