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ACD" w:rsidRPr="00365ACD" w:rsidRDefault="00365ACD" w:rsidP="00365AC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65ACD">
        <w:rPr>
          <w:rFonts w:ascii="Arial" w:eastAsia="Times New Roman" w:hAnsi="Arial" w:cs="Arial"/>
          <w:color w:val="111111"/>
          <w:kern w:val="36"/>
          <w:sz w:val="30"/>
          <w:szCs w:val="30"/>
          <w:lang w:eastAsia="tr-TR"/>
        </w:rPr>
        <w:t>3065 SAYILI KATMA DEĞER VERGİSİ KANUNUNDA YER ALAN VERGİSEL TEŞVİKLER</w:t>
      </w:r>
    </w:p>
    <w:p w:rsidR="00365ACD" w:rsidRPr="00D52343" w:rsidRDefault="00365ACD" w:rsidP="00D52343">
      <w:pPr>
        <w:pStyle w:val="NormalWeb"/>
        <w:shd w:val="clear" w:color="auto" w:fill="FFFFFF"/>
        <w:spacing w:before="0" w:beforeAutospacing="0" w:after="300" w:afterAutospacing="0" w:line="255" w:lineRule="atLeast"/>
        <w:jc w:val="both"/>
        <w:rPr>
          <w:color w:val="6F6F6F"/>
          <w:sz w:val="28"/>
          <w:szCs w:val="28"/>
        </w:rPr>
      </w:pPr>
      <w:bookmarkStart w:id="0" w:name="_GoBack"/>
      <w:r w:rsidRPr="00D52343">
        <w:rPr>
          <w:rStyle w:val="Vurgu"/>
          <w:b/>
          <w:bCs/>
          <w:color w:val="6F6F6F"/>
          <w:sz w:val="28"/>
          <w:szCs w:val="28"/>
        </w:rPr>
        <w:t>(1) </w:t>
      </w:r>
      <w:r w:rsidRPr="00D52343">
        <w:rPr>
          <w:rStyle w:val="Vurgu"/>
          <w:color w:val="6F6F6F"/>
          <w:sz w:val="28"/>
          <w:szCs w:val="28"/>
        </w:rPr>
        <w:t>Serbest bölge hükümlerinin uygulandığı mallar ile serbest bölgelerde verilen hizmetler katma değer vergisinden istisnadır</w:t>
      </w:r>
      <w:r w:rsidRPr="00D52343">
        <w:rPr>
          <w:rStyle w:val="Gl"/>
          <w:i/>
          <w:iCs/>
          <w:color w:val="6F6F6F"/>
          <w:sz w:val="28"/>
          <w:szCs w:val="28"/>
        </w:rPr>
        <w:t>. (</w:t>
      </w:r>
      <w:hyperlink r:id="rId5" w:tgtFrame="_blank" w:history="1">
        <w:r w:rsidRPr="00D52343">
          <w:rPr>
            <w:rStyle w:val="Vurgu"/>
            <w:b/>
            <w:bCs/>
            <w:color w:val="5C6F83"/>
            <w:sz w:val="28"/>
            <w:szCs w:val="28"/>
          </w:rPr>
          <w:t>KDVK md.16/1-c</w:t>
        </w:r>
      </w:hyperlink>
      <w:r w:rsidRPr="00D52343">
        <w:rPr>
          <w:rStyle w:val="Vurgu"/>
          <w:b/>
          <w:bCs/>
          <w:color w:val="6F6F6F"/>
          <w:sz w:val="28"/>
          <w:szCs w:val="28"/>
        </w:rPr>
        <w:t>) </w:t>
      </w:r>
      <w:hyperlink r:id="rId6" w:tgtFrame="_blank" w:history="1">
        <w:r w:rsidRPr="00D52343">
          <w:rPr>
            <w:rStyle w:val="Kpr"/>
            <w:b/>
            <w:bCs/>
            <w:color w:val="5C6F83"/>
            <w:sz w:val="28"/>
            <w:szCs w:val="28"/>
            <w:u w:val="none"/>
          </w:rPr>
          <w:t>(KDVK 17/4-ı)</w:t>
        </w:r>
      </w:hyperlink>
      <w:r w:rsidRPr="00D52343">
        <w:rPr>
          <w:rStyle w:val="Vurgu"/>
          <w:b/>
          <w:bCs/>
          <w:color w:val="6F6F6F"/>
          <w:sz w:val="28"/>
          <w:szCs w:val="28"/>
        </w:rPr>
        <w:t> (KDV Genel Uygulama Tebliğinin “II/A-1. Mal İhracı, II/A-4.Serbest Bölgelerdeki Müşteriler İçin Yapılan Fason Hizmetler, II/F-</w:t>
      </w:r>
      <w:proofErr w:type="gramStart"/>
      <w:r w:rsidRPr="00D52343">
        <w:rPr>
          <w:rStyle w:val="Vurgu"/>
          <w:b/>
          <w:bCs/>
          <w:color w:val="6F6F6F"/>
          <w:sz w:val="28"/>
          <w:szCs w:val="28"/>
        </w:rPr>
        <w:t>4.9</w:t>
      </w:r>
      <w:proofErr w:type="gramEnd"/>
      <w:r w:rsidRPr="00D52343">
        <w:rPr>
          <w:rStyle w:val="Vurgu"/>
          <w:b/>
          <w:bCs/>
          <w:color w:val="6F6F6F"/>
          <w:sz w:val="28"/>
          <w:szCs w:val="28"/>
        </w:rPr>
        <w:t>. Serbest Bölgelerde Verilen Hizmetler” başlıklı bölümleri)</w:t>
      </w:r>
    </w:p>
    <w:p w:rsidR="00365ACD" w:rsidRPr="00D52343" w:rsidRDefault="00365ACD" w:rsidP="00D52343">
      <w:pPr>
        <w:pStyle w:val="NormalWeb"/>
        <w:shd w:val="clear" w:color="auto" w:fill="FFFFFF"/>
        <w:spacing w:before="0" w:beforeAutospacing="0" w:after="300" w:afterAutospacing="0" w:line="255" w:lineRule="atLeast"/>
        <w:jc w:val="both"/>
        <w:rPr>
          <w:color w:val="6F6F6F"/>
          <w:sz w:val="28"/>
          <w:szCs w:val="28"/>
        </w:rPr>
      </w:pPr>
      <w:r w:rsidRPr="00D52343">
        <w:rPr>
          <w:rStyle w:val="Vurgu"/>
          <w:b/>
          <w:bCs/>
          <w:color w:val="6F6F6F"/>
          <w:sz w:val="28"/>
          <w:szCs w:val="28"/>
        </w:rPr>
        <w:t> </w:t>
      </w:r>
      <w:proofErr w:type="gramStart"/>
      <w:r w:rsidRPr="00D52343">
        <w:rPr>
          <w:rStyle w:val="Vurgu"/>
          <w:b/>
          <w:bCs/>
          <w:color w:val="6F6F6F"/>
          <w:sz w:val="28"/>
          <w:szCs w:val="28"/>
        </w:rPr>
        <w:t>(2) </w:t>
      </w:r>
      <w:r w:rsidRPr="00D52343">
        <w:rPr>
          <w:rStyle w:val="Vurgu"/>
          <w:color w:val="6F6F6F"/>
          <w:sz w:val="28"/>
          <w:szCs w:val="28"/>
        </w:rPr>
        <w:t xml:space="preserve">Faaliyetleri kısmen veya tamamen deniz, hava ve demiryolu taşıma araçlarının, yüzer tesis ve araçların kiralanması veya çeşitli şekillerde işletilmesi olan mükelleflere bu amaçla yapılan deniz, hava ve demiryolu taşıma araçlarının, yüzer tesis ve araçlarının teslimleri, bu araçların imal ve </w:t>
      </w:r>
      <w:proofErr w:type="spellStart"/>
      <w:r w:rsidRPr="00D52343">
        <w:rPr>
          <w:rStyle w:val="Vurgu"/>
          <w:color w:val="6F6F6F"/>
          <w:sz w:val="28"/>
          <w:szCs w:val="28"/>
        </w:rPr>
        <w:t>inşaası</w:t>
      </w:r>
      <w:proofErr w:type="spellEnd"/>
      <w:r w:rsidRPr="00D52343">
        <w:rPr>
          <w:rStyle w:val="Vurgu"/>
          <w:color w:val="6F6F6F"/>
          <w:sz w:val="28"/>
          <w:szCs w:val="28"/>
        </w:rPr>
        <w:t xml:space="preserve"> ile ilgili olarak yapılan teslim ve hizmetler ile bunların tadili, onarım ve bakımı şeklinde ortaya çıkan hizmetler ve faaliyetleri deniz taşıma araçları ile yüzer tesis ve araçların imal ve inşası olanlara bu araçların imal ve inşası ile ilgili olarak yapılacak teslim ve hizmetler katma değer vergisinden istisnadır. </w:t>
      </w:r>
      <w:proofErr w:type="gramEnd"/>
      <w:r w:rsidRPr="00D52343">
        <w:rPr>
          <w:color w:val="6F6F6F"/>
          <w:sz w:val="28"/>
          <w:szCs w:val="28"/>
        </w:rPr>
        <w:t>(</w:t>
      </w:r>
      <w:hyperlink r:id="rId7" w:tgtFrame="_blank" w:history="1">
        <w:r w:rsidRPr="00D52343">
          <w:rPr>
            <w:rStyle w:val="Kpr"/>
            <w:b/>
            <w:bCs/>
            <w:color w:val="5C6F83"/>
            <w:sz w:val="28"/>
            <w:szCs w:val="28"/>
            <w:u w:val="none"/>
          </w:rPr>
          <w:t xml:space="preserve">KDVK </w:t>
        </w:r>
        <w:proofErr w:type="spellStart"/>
        <w:r w:rsidRPr="00D52343">
          <w:rPr>
            <w:rStyle w:val="Kpr"/>
            <w:b/>
            <w:bCs/>
            <w:color w:val="5C6F83"/>
            <w:sz w:val="28"/>
            <w:szCs w:val="28"/>
            <w:u w:val="none"/>
          </w:rPr>
          <w:t>md.</w:t>
        </w:r>
        <w:proofErr w:type="spellEnd"/>
        <w:r w:rsidRPr="00D52343">
          <w:rPr>
            <w:rStyle w:val="Kpr"/>
            <w:b/>
            <w:bCs/>
            <w:color w:val="5C6F83"/>
            <w:sz w:val="28"/>
            <w:szCs w:val="28"/>
            <w:u w:val="none"/>
          </w:rPr>
          <w:t xml:space="preserve"> 13/1-a</w:t>
        </w:r>
      </w:hyperlink>
      <w:r w:rsidRPr="00D52343">
        <w:rPr>
          <w:color w:val="6F6F6F"/>
          <w:sz w:val="28"/>
          <w:szCs w:val="28"/>
        </w:rPr>
        <w:t>) </w:t>
      </w:r>
      <w:r w:rsidRPr="00D52343">
        <w:rPr>
          <w:rStyle w:val="Vurgu"/>
          <w:b/>
          <w:bCs/>
          <w:color w:val="6F6F6F"/>
          <w:sz w:val="28"/>
          <w:szCs w:val="28"/>
        </w:rPr>
        <w:t>(KDV Genel Uygulama Tebliğinin “II/B-1. Deniz, Hava ve Demiryolu Taşıma Araçlarının Tesliminde, Tadil, Bakım ve Onarımında, İmal ve İnşasına İlişkin Alımlarda İstisna” başlıklı bölümü),</w:t>
      </w:r>
    </w:p>
    <w:p w:rsidR="00365ACD" w:rsidRPr="00D52343" w:rsidRDefault="00365ACD" w:rsidP="00D52343">
      <w:pPr>
        <w:pStyle w:val="NormalWeb"/>
        <w:shd w:val="clear" w:color="auto" w:fill="FFFFFF"/>
        <w:spacing w:before="0" w:beforeAutospacing="0" w:after="300" w:afterAutospacing="0" w:line="255" w:lineRule="atLeast"/>
        <w:jc w:val="both"/>
        <w:rPr>
          <w:color w:val="6F6F6F"/>
          <w:sz w:val="28"/>
          <w:szCs w:val="28"/>
        </w:rPr>
      </w:pPr>
      <w:r w:rsidRPr="00D52343">
        <w:rPr>
          <w:rStyle w:val="Vurgu"/>
          <w:b/>
          <w:bCs/>
          <w:color w:val="6F6F6F"/>
          <w:sz w:val="28"/>
          <w:szCs w:val="28"/>
        </w:rPr>
        <w:t>(3)</w:t>
      </w:r>
      <w:r w:rsidRPr="00D52343">
        <w:rPr>
          <w:color w:val="6F6F6F"/>
          <w:sz w:val="28"/>
          <w:szCs w:val="28"/>
        </w:rPr>
        <w:t> </w:t>
      </w:r>
      <w:r w:rsidRPr="00D52343">
        <w:rPr>
          <w:rStyle w:val="Vurgu"/>
          <w:color w:val="6F6F6F"/>
          <w:sz w:val="28"/>
          <w:szCs w:val="28"/>
        </w:rPr>
        <w:t>Altın, gümüş ve platin ile ilgili arama, işletme, zenginleştirme ve rafinaj faaliyetleri ile Petrol Arama Kanunu hükümleri gereğince, petrol arama faaliyetlerini yürütenlere yapılan hizmetler ve mal teslimleri katma değer vergisinden istisnadır.</w:t>
      </w:r>
      <w:r w:rsidRPr="00D52343">
        <w:rPr>
          <w:rStyle w:val="Gl"/>
          <w:i/>
          <w:iCs/>
          <w:color w:val="6F6F6F"/>
          <w:sz w:val="28"/>
          <w:szCs w:val="28"/>
        </w:rPr>
        <w:t> (</w:t>
      </w:r>
      <w:hyperlink r:id="rId8" w:tgtFrame="_blank" w:history="1">
        <w:r w:rsidRPr="00D52343">
          <w:rPr>
            <w:rStyle w:val="Kpr"/>
            <w:b/>
            <w:bCs/>
            <w:color w:val="5C6F83"/>
            <w:sz w:val="28"/>
            <w:szCs w:val="28"/>
            <w:u w:val="none"/>
          </w:rPr>
          <w:t xml:space="preserve">KDVK </w:t>
        </w:r>
        <w:proofErr w:type="spellStart"/>
        <w:r w:rsidRPr="00D52343">
          <w:rPr>
            <w:rStyle w:val="Kpr"/>
            <w:b/>
            <w:bCs/>
            <w:color w:val="5C6F83"/>
            <w:sz w:val="28"/>
            <w:szCs w:val="28"/>
            <w:u w:val="none"/>
          </w:rPr>
          <w:t>md.</w:t>
        </w:r>
        <w:proofErr w:type="spellEnd"/>
        <w:r w:rsidRPr="00D52343">
          <w:rPr>
            <w:rStyle w:val="Kpr"/>
            <w:b/>
            <w:bCs/>
            <w:color w:val="5C6F83"/>
            <w:sz w:val="28"/>
            <w:szCs w:val="28"/>
            <w:u w:val="none"/>
          </w:rPr>
          <w:t xml:space="preserve"> 13/1-c</w:t>
        </w:r>
      </w:hyperlink>
      <w:r w:rsidRPr="00D52343">
        <w:rPr>
          <w:rStyle w:val="Gl"/>
          <w:i/>
          <w:iCs/>
          <w:color w:val="6F6F6F"/>
          <w:sz w:val="28"/>
          <w:szCs w:val="28"/>
        </w:rPr>
        <w:t>) (KDV Genel Uygulama Tebliğinin “II/B-3. Petrol Arama Faaliyetlerine İlişkin İstisna, II/B-4. Altın, Gümüş, Platin ile İlgili Arama, İşletme ve Zenginleştirme Faaliyetlerine İlişkin İstisna” başlıklı bölümleri)</w:t>
      </w:r>
    </w:p>
    <w:p w:rsidR="00365ACD" w:rsidRPr="00D52343" w:rsidRDefault="00365ACD" w:rsidP="00D52343">
      <w:pPr>
        <w:pStyle w:val="NormalWeb"/>
        <w:shd w:val="clear" w:color="auto" w:fill="FFFFFF"/>
        <w:spacing w:before="0" w:beforeAutospacing="0" w:after="300" w:afterAutospacing="0" w:line="255" w:lineRule="atLeast"/>
        <w:jc w:val="both"/>
        <w:rPr>
          <w:color w:val="6F6F6F"/>
          <w:sz w:val="28"/>
          <w:szCs w:val="28"/>
        </w:rPr>
      </w:pPr>
      <w:r w:rsidRPr="00D52343">
        <w:rPr>
          <w:rStyle w:val="Vurgu"/>
          <w:b/>
          <w:bCs/>
          <w:color w:val="6F6F6F"/>
          <w:sz w:val="28"/>
          <w:szCs w:val="28"/>
        </w:rPr>
        <w:t>(4)</w:t>
      </w:r>
      <w:r w:rsidRPr="00D52343">
        <w:rPr>
          <w:rStyle w:val="Vurgu"/>
          <w:color w:val="6F6F6F"/>
          <w:sz w:val="28"/>
          <w:szCs w:val="28"/>
        </w:rPr>
        <w:t> Yatırım teşvik belgesi sahibi mükelleflere belge kapsamında yapılan makine ve teçhizat teslimleri katma değer vergisinden istisnadır.</w:t>
      </w:r>
      <w:r w:rsidRPr="00D52343">
        <w:rPr>
          <w:rStyle w:val="Gl"/>
          <w:i/>
          <w:iCs/>
          <w:color w:val="6F6F6F"/>
          <w:sz w:val="28"/>
          <w:szCs w:val="28"/>
        </w:rPr>
        <w:t>(</w:t>
      </w:r>
      <w:hyperlink r:id="rId9" w:tgtFrame="_blank" w:history="1">
        <w:r w:rsidRPr="00D52343">
          <w:rPr>
            <w:rStyle w:val="Vurgu"/>
            <w:b/>
            <w:bCs/>
            <w:color w:val="5C6F83"/>
            <w:sz w:val="28"/>
            <w:szCs w:val="28"/>
          </w:rPr>
          <w:t xml:space="preserve">KDVK </w:t>
        </w:r>
        <w:proofErr w:type="spellStart"/>
        <w:r w:rsidRPr="00D52343">
          <w:rPr>
            <w:rStyle w:val="Vurgu"/>
            <w:b/>
            <w:bCs/>
            <w:color w:val="5C6F83"/>
            <w:sz w:val="28"/>
            <w:szCs w:val="28"/>
          </w:rPr>
          <w:t>md.</w:t>
        </w:r>
        <w:proofErr w:type="spellEnd"/>
        <w:r w:rsidRPr="00D52343">
          <w:rPr>
            <w:rStyle w:val="Vurgu"/>
            <w:b/>
            <w:bCs/>
            <w:color w:val="5C6F83"/>
            <w:sz w:val="28"/>
            <w:szCs w:val="28"/>
          </w:rPr>
          <w:t xml:space="preserve"> 13/1-d</w:t>
        </w:r>
      </w:hyperlink>
      <w:r w:rsidRPr="00D52343">
        <w:rPr>
          <w:rStyle w:val="Vurgu"/>
          <w:b/>
          <w:bCs/>
          <w:color w:val="6F6F6F"/>
          <w:sz w:val="28"/>
          <w:szCs w:val="28"/>
        </w:rPr>
        <w:t>) (“KDV Genel Uygulama Tebliğinin II/B-5.Yatırım Teşvik Belgesi Kapsamında Makine ve Teçhizat Teslimlerinde İstisna” başlıklı bölümü)</w:t>
      </w:r>
    </w:p>
    <w:p w:rsidR="00365ACD" w:rsidRPr="00D52343" w:rsidRDefault="00365ACD" w:rsidP="00D52343">
      <w:pPr>
        <w:pStyle w:val="NormalWeb"/>
        <w:shd w:val="clear" w:color="auto" w:fill="FFFFFF"/>
        <w:spacing w:before="0" w:beforeAutospacing="0" w:after="300" w:afterAutospacing="0" w:line="255" w:lineRule="atLeast"/>
        <w:jc w:val="both"/>
        <w:rPr>
          <w:color w:val="6F6F6F"/>
          <w:sz w:val="28"/>
          <w:szCs w:val="28"/>
        </w:rPr>
      </w:pPr>
      <w:r w:rsidRPr="00D52343">
        <w:rPr>
          <w:rStyle w:val="Vurgu"/>
          <w:b/>
          <w:bCs/>
          <w:color w:val="6F6F6F"/>
          <w:sz w:val="28"/>
          <w:szCs w:val="28"/>
        </w:rPr>
        <w:t>(5)</w:t>
      </w:r>
      <w:r w:rsidRPr="00D52343">
        <w:rPr>
          <w:rStyle w:val="Vurgu"/>
          <w:color w:val="6F6F6F"/>
          <w:sz w:val="28"/>
          <w:szCs w:val="28"/>
        </w:rPr>
        <w:t> Limanlar ve hava meydanlarının inşası, yenilenmesi ve genişletilmesi işlerini kendisi yapan ya da başkalarına yaptıran mükelleflere bu işlerle ilgili olarak yapılan mal teslimleri ve hizmet ifaları katma değer vergisinden istisnadır. </w:t>
      </w:r>
      <w:r w:rsidRPr="00D52343">
        <w:rPr>
          <w:rStyle w:val="Gl"/>
          <w:i/>
          <w:iCs/>
          <w:color w:val="6F6F6F"/>
          <w:sz w:val="28"/>
          <w:szCs w:val="28"/>
        </w:rPr>
        <w:t>(</w:t>
      </w:r>
      <w:hyperlink r:id="rId10" w:tgtFrame="_blank" w:history="1">
        <w:r w:rsidRPr="00D52343">
          <w:rPr>
            <w:rStyle w:val="Vurgu"/>
            <w:b/>
            <w:bCs/>
            <w:color w:val="5C6F83"/>
            <w:sz w:val="28"/>
            <w:szCs w:val="28"/>
          </w:rPr>
          <w:t xml:space="preserve">KDVK </w:t>
        </w:r>
        <w:proofErr w:type="spellStart"/>
        <w:r w:rsidRPr="00D52343">
          <w:rPr>
            <w:rStyle w:val="Vurgu"/>
            <w:b/>
            <w:bCs/>
            <w:color w:val="5C6F83"/>
            <w:sz w:val="28"/>
            <w:szCs w:val="28"/>
          </w:rPr>
          <w:t>md.</w:t>
        </w:r>
        <w:proofErr w:type="spellEnd"/>
        <w:r w:rsidRPr="00D52343">
          <w:rPr>
            <w:rStyle w:val="Vurgu"/>
            <w:b/>
            <w:bCs/>
            <w:color w:val="5C6F83"/>
            <w:sz w:val="28"/>
            <w:szCs w:val="28"/>
          </w:rPr>
          <w:t xml:space="preserve"> 13/1-e</w:t>
        </w:r>
      </w:hyperlink>
      <w:r w:rsidRPr="00D52343">
        <w:rPr>
          <w:rStyle w:val="Vurgu"/>
          <w:b/>
          <w:bCs/>
          <w:color w:val="6F6F6F"/>
          <w:sz w:val="28"/>
          <w:szCs w:val="28"/>
        </w:rPr>
        <w:t>) (KDV Genel Uygulama Tebliğinin “II/B- 6. Limanlar ve Hava Meydanlarına Bağlantı Sağlayan Demiryolu Hatları ile Liman ve Hava Meydanlarının İnşası, Yenilenmesi ve Genişletilmesine İlişkin İstisna” başlıklı bölümü)</w:t>
      </w:r>
    </w:p>
    <w:p w:rsidR="00365ACD" w:rsidRPr="00D52343" w:rsidRDefault="00365ACD" w:rsidP="00D52343">
      <w:pPr>
        <w:pStyle w:val="NormalWeb"/>
        <w:shd w:val="clear" w:color="auto" w:fill="FFFFFF"/>
        <w:spacing w:before="0" w:beforeAutospacing="0" w:after="300" w:afterAutospacing="0" w:line="255" w:lineRule="atLeast"/>
        <w:jc w:val="both"/>
        <w:rPr>
          <w:color w:val="6F6F6F"/>
          <w:sz w:val="28"/>
          <w:szCs w:val="28"/>
        </w:rPr>
      </w:pPr>
      <w:r w:rsidRPr="00D52343">
        <w:rPr>
          <w:rStyle w:val="Vurgu"/>
          <w:b/>
          <w:bCs/>
          <w:color w:val="6F6F6F"/>
          <w:sz w:val="28"/>
          <w:szCs w:val="28"/>
        </w:rPr>
        <w:lastRenderedPageBreak/>
        <w:t>(6)</w:t>
      </w:r>
      <w:r w:rsidRPr="00D52343">
        <w:rPr>
          <w:rStyle w:val="Vurgu"/>
          <w:color w:val="6F6F6F"/>
          <w:sz w:val="28"/>
          <w:szCs w:val="28"/>
        </w:rPr>
        <w:t> </w:t>
      </w:r>
      <w:proofErr w:type="gramStart"/>
      <w:r w:rsidRPr="00D52343">
        <w:rPr>
          <w:rStyle w:val="Vurgu"/>
          <w:color w:val="6F6F6F"/>
          <w:sz w:val="28"/>
          <w:szCs w:val="28"/>
        </w:rPr>
        <w:t>8/6/1994</w:t>
      </w:r>
      <w:proofErr w:type="gramEnd"/>
      <w:r w:rsidRPr="00D52343">
        <w:rPr>
          <w:rStyle w:val="Vurgu"/>
          <w:color w:val="6F6F6F"/>
          <w:sz w:val="28"/>
          <w:szCs w:val="28"/>
        </w:rPr>
        <w:t xml:space="preserve"> tarihli ve 3996 sayılı Bazı Yatırım ve Hizmetlerin Yap-İşlet-Devret Modeli Çerçevesinde Yaptırılması Hakkında Kanuna göre yap-işlet-devret modeli çerçevesinde gerçekleştirilecek projeler ve 7/5/1987 tarihli ve 3359 sayılı Sağlık Hizmetleri Temel Kanununun ek 7 </w:t>
      </w:r>
      <w:proofErr w:type="spellStart"/>
      <w:r w:rsidRPr="00D52343">
        <w:rPr>
          <w:rStyle w:val="Vurgu"/>
          <w:color w:val="6F6F6F"/>
          <w:sz w:val="28"/>
          <w:szCs w:val="28"/>
        </w:rPr>
        <w:t>nci</w:t>
      </w:r>
      <w:proofErr w:type="spellEnd"/>
      <w:r w:rsidRPr="00D52343">
        <w:rPr>
          <w:rStyle w:val="Vurgu"/>
          <w:color w:val="6F6F6F"/>
          <w:sz w:val="28"/>
          <w:szCs w:val="28"/>
        </w:rPr>
        <w:t xml:space="preserve"> maddesine göre Yüksek Planlama Kurulu tarafından kiralama karşılığı yaptırılmasına karar verilen sağlık tesislerine ilişkin projeler ve 25/8/2011 tarihli ve 652 sayılı Millî Eğitim Bakanlığının Teşkilat ve Görevleri Hakkında Kanun Hükmünde Kararnamenin 23 üncü maddesine göre Bakanlık tarafından kiralama karşılığı yaptırılmasına karar verilen eğitim öğretim tesislerine ilişkin projelerden bu maddenin yürürlüğe girdiği tarihten önce ihale veya görevlendirme ilanı yayımlanmış ancak teklif alınmamış olanlar ile 31/12/2023 tarihine kadar ihale veya görevlendirme ilanı yayımlanacak olanların; ihale edilmesi ile görevlendirilen veya projeyi üstlenenlere yatırım döneminde proje kapsamında yapılan mal teslimleri ve hizmet ifaları katma değer vergisinden müstesnadır. </w:t>
      </w:r>
      <w:r w:rsidRPr="00D52343">
        <w:rPr>
          <w:rStyle w:val="Gl"/>
          <w:i/>
          <w:iCs/>
          <w:color w:val="6F6F6F"/>
          <w:sz w:val="28"/>
          <w:szCs w:val="28"/>
        </w:rPr>
        <w:t>(</w:t>
      </w:r>
      <w:hyperlink r:id="rId11" w:tgtFrame="_blank" w:history="1">
        <w:r w:rsidRPr="00D52343">
          <w:rPr>
            <w:rStyle w:val="Vurgu"/>
            <w:b/>
            <w:bCs/>
            <w:color w:val="5C6F83"/>
            <w:sz w:val="28"/>
            <w:szCs w:val="28"/>
          </w:rPr>
          <w:t>KDVK Geçici Madde 29</w:t>
        </w:r>
      </w:hyperlink>
      <w:r w:rsidRPr="00D52343">
        <w:rPr>
          <w:rStyle w:val="Vurgu"/>
          <w:b/>
          <w:bCs/>
          <w:color w:val="6F6F6F"/>
          <w:sz w:val="28"/>
          <w:szCs w:val="28"/>
        </w:rPr>
        <w:t>) (KDV Genel Uygulama Tebliğinin “II/E- 3. 3996 Sayılı Kanuna Göre Yap-İşlet-Devret veya 3359 Sayılı Kanun ile 652 Sayılı Kararnameye Göre Kiralama Karşılığı Yaptırılan Projelerde KDV İstisnası” başlıklı bölümü)</w:t>
      </w:r>
    </w:p>
    <w:bookmarkEnd w:id="0"/>
    <w:p w:rsidR="00984F80" w:rsidRPr="00D52343" w:rsidRDefault="00984F80" w:rsidP="00D52343">
      <w:pPr>
        <w:jc w:val="both"/>
        <w:rPr>
          <w:rFonts w:ascii="Times New Roman" w:hAnsi="Times New Roman" w:cs="Times New Roman"/>
          <w:sz w:val="28"/>
          <w:szCs w:val="28"/>
        </w:rPr>
      </w:pPr>
    </w:p>
    <w:sectPr w:rsidR="00984F80" w:rsidRPr="00D52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CD"/>
    <w:rsid w:val="00365ACD"/>
    <w:rsid w:val="00984F80"/>
    <w:rsid w:val="00D523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65A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65ACD"/>
    <w:rPr>
      <w:b/>
      <w:bCs/>
    </w:rPr>
  </w:style>
  <w:style w:type="character" w:styleId="Vurgu">
    <w:name w:val="Emphasis"/>
    <w:basedOn w:val="VarsaylanParagrafYazTipi"/>
    <w:uiPriority w:val="20"/>
    <w:qFormat/>
    <w:rsid w:val="00365ACD"/>
    <w:rPr>
      <w:i/>
      <w:iCs/>
    </w:rPr>
  </w:style>
  <w:style w:type="character" w:styleId="Kpr">
    <w:name w:val="Hyperlink"/>
    <w:basedOn w:val="VarsaylanParagrafYazTipi"/>
    <w:uiPriority w:val="99"/>
    <w:semiHidden/>
    <w:unhideWhenUsed/>
    <w:rsid w:val="00365A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65A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65ACD"/>
    <w:rPr>
      <w:b/>
      <w:bCs/>
    </w:rPr>
  </w:style>
  <w:style w:type="character" w:styleId="Vurgu">
    <w:name w:val="Emphasis"/>
    <w:basedOn w:val="VarsaylanParagrafYazTipi"/>
    <w:uiPriority w:val="20"/>
    <w:qFormat/>
    <w:rsid w:val="00365ACD"/>
    <w:rPr>
      <w:i/>
      <w:iCs/>
    </w:rPr>
  </w:style>
  <w:style w:type="character" w:styleId="Kpr">
    <w:name w:val="Hyperlink"/>
    <w:basedOn w:val="VarsaylanParagrafYazTipi"/>
    <w:uiPriority w:val="99"/>
    <w:semiHidden/>
    <w:unhideWhenUsed/>
    <w:rsid w:val="00365A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780094">
      <w:bodyDiv w:val="1"/>
      <w:marLeft w:val="0"/>
      <w:marRight w:val="0"/>
      <w:marTop w:val="0"/>
      <w:marBottom w:val="0"/>
      <w:divBdr>
        <w:top w:val="none" w:sz="0" w:space="0" w:color="auto"/>
        <w:left w:val="none" w:sz="0" w:space="0" w:color="auto"/>
        <w:bottom w:val="none" w:sz="0" w:space="0" w:color="auto"/>
        <w:right w:val="none" w:sz="0" w:space="0" w:color="auto"/>
      </w:divBdr>
    </w:div>
    <w:div w:id="188174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gov.tr/index.php?id=1079&amp;uid=TGX5JZID5FJZTZZ6&amp;type=mad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b.gov.tr/index.php?id=1079&amp;uid=TGX5JZID5FJZTZZ6&amp;type=mad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ib.gov.tr/index.php?id=1079&amp;uid=YX34LMQPAKE42YYG&amp;type=madde" TargetMode="External"/><Relationship Id="rId11" Type="http://schemas.openxmlformats.org/officeDocument/2006/relationships/hyperlink" Target="http://www.gib.gov.tr/index.php?id=1079&amp;uid=xX89seVnBPK8kNHw&amp;type=madde" TargetMode="External"/><Relationship Id="rId5" Type="http://schemas.openxmlformats.org/officeDocument/2006/relationships/hyperlink" Target="http://www.gib.gov.tr/index.php?id=1079&amp;uid=MQEFWKY969TVURXB&amp;type=madde" TargetMode="External"/><Relationship Id="rId10" Type="http://schemas.openxmlformats.org/officeDocument/2006/relationships/hyperlink" Target="http://www.gib.gov.tr/index.php?id=1079&amp;uid=TGX5JZID5FJZTZZ6&amp;type=madde" TargetMode="External"/><Relationship Id="rId4" Type="http://schemas.openxmlformats.org/officeDocument/2006/relationships/webSettings" Target="webSettings.xml"/><Relationship Id="rId9" Type="http://schemas.openxmlformats.org/officeDocument/2006/relationships/hyperlink" Target="http://www.gib.gov.tr/index.php?id=1079&amp;uid=TGX5JZID5FJZTZZ6&amp;type=madd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2018-09-06T11:19:00Z</dcterms:created>
  <dcterms:modified xsi:type="dcterms:W3CDTF">2018-09-06T11:50:00Z</dcterms:modified>
</cp:coreProperties>
</file>