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7D" w:rsidRDefault="00086E7D" w:rsidP="00086E7D">
      <w:pPr>
        <w:spacing w:after="150" w:line="312" w:lineRule="atLeast"/>
        <w:outlineLvl w:val="0"/>
        <w:rPr>
          <w:rFonts w:ascii="Roboto" w:eastAsia="Times New Roman" w:hAnsi="Roboto" w:cs="Times New Roman"/>
          <w:b/>
          <w:bCs/>
          <w:color w:val="FF0000"/>
          <w:kern w:val="36"/>
          <w:sz w:val="36"/>
          <w:szCs w:val="36"/>
          <w:lang w:eastAsia="tr-TR"/>
        </w:rPr>
      </w:pPr>
      <w:r w:rsidRPr="00086E7D">
        <w:rPr>
          <w:rFonts w:ascii="Roboto" w:eastAsia="Times New Roman" w:hAnsi="Roboto" w:cs="Times New Roman"/>
          <w:b/>
          <w:bCs/>
          <w:color w:val="FF0000"/>
          <w:kern w:val="36"/>
          <w:sz w:val="36"/>
          <w:szCs w:val="36"/>
          <w:lang w:eastAsia="tr-TR"/>
        </w:rPr>
        <w:t>İzinsiz Ödeme Hizmeti Sunan Kişi ve Kuruluşlar Hakkında Basın Duyurusu</w:t>
      </w:r>
    </w:p>
    <w:p w:rsidR="00236BCC" w:rsidRPr="00086E7D" w:rsidRDefault="00236BCC" w:rsidP="00086E7D">
      <w:pPr>
        <w:spacing w:after="150" w:line="312" w:lineRule="atLeast"/>
        <w:outlineLvl w:val="0"/>
        <w:rPr>
          <w:rFonts w:ascii="Roboto" w:eastAsia="Times New Roman" w:hAnsi="Roboto" w:cs="Times New Roman"/>
          <w:b/>
          <w:bCs/>
          <w:color w:val="FF0000"/>
          <w:kern w:val="36"/>
          <w:sz w:val="36"/>
          <w:szCs w:val="36"/>
          <w:lang w:eastAsia="tr-TR"/>
        </w:rPr>
      </w:pPr>
      <w:r w:rsidRPr="00236BCC">
        <w:rPr>
          <w:rFonts w:ascii="Roboto" w:hAnsi="Roboto"/>
          <w:color w:val="FF0000"/>
          <w:sz w:val="18"/>
          <w:szCs w:val="18"/>
          <w:shd w:val="clear" w:color="auto" w:fill="FFFFFF"/>
        </w:rPr>
        <w:t>Tarih: </w:t>
      </w:r>
      <w:r>
        <w:t xml:space="preserve">10 Eylül 2021 </w:t>
      </w:r>
      <w:bookmarkStart w:id="0" w:name="_GoBack"/>
      <w:bookmarkEnd w:id="0"/>
    </w:p>
    <w:p w:rsidR="00086E7D" w:rsidRPr="00086E7D" w:rsidRDefault="00086E7D" w:rsidP="00086E7D">
      <w:pPr>
        <w:spacing w:after="150" w:line="312" w:lineRule="atLeast"/>
        <w:outlineLvl w:val="3"/>
        <w:rPr>
          <w:rFonts w:ascii="Roboto" w:eastAsia="Times New Roman" w:hAnsi="Roboto" w:cs="Times New Roman"/>
          <w:b/>
          <w:bCs/>
          <w:color w:val="40454D"/>
          <w:sz w:val="23"/>
          <w:szCs w:val="23"/>
          <w:lang w:eastAsia="tr-TR"/>
        </w:rPr>
      </w:pPr>
      <w:r w:rsidRPr="00086E7D">
        <w:rPr>
          <w:rFonts w:ascii="Roboto" w:eastAsia="Times New Roman" w:hAnsi="Roboto" w:cs="Times New Roman"/>
          <w:b/>
          <w:bCs/>
          <w:color w:val="40454D"/>
          <w:sz w:val="23"/>
          <w:szCs w:val="23"/>
          <w:lang w:eastAsia="tr-TR"/>
        </w:rPr>
        <w:t>İzinsiz Ödeme Hizmeti Sunan Kişi ve Kuruluşlar Hakkında Basın Duyurusu</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Türkiye Cumhuriyet Merkez Bankası (TCMB), 6493 sayılı “Ödeme ve Menkul Kıymet Mutabakat Sistemleri, Ödeme Hizmetleri ve Elektronik Para Kuruluşları Hakkında Kanun” uyarınca ödemeler alanını düzenlemekle ve denetlemekle görevlendirilmiştir.</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Son zamanlarda ilgili mevzuatın gerektirdiği izin ve yetkiler olmadan bir kısım işletmeler ve kişiler tarafından para transferi ve fatura ödemeleri hizmetlerine aracılık edildiği ve bu amaçla üçüncü kişilerden para tahsil edildiği yönünde ihbar ve şikâyetler alınmaktadır. Tahsilatı yapılmış fonların ödemelerde kullanılmayıp mağduriyet yaratıldığına yönelik yoğun bildirimler ile karşılaşılmaktadır.</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Ülkemizde ödeme hizmetlerinin sunulabilmesi ancak gerekli lisansların alınmış olması şartıyla mümkündür. Bankalar, Posta ve Telgraf Teşkilatı A.Ş. (PTT) ile faaliyet izni almış ödeme kuruluşları ve elektronik para kuruluşları tarafından ödeme hizmetleri yerine getirilebilmektedir. Para transferi, fatura ödemelerine aracılık edilmesi ve benzeri ödeme hizmetlerini sunabilecek yetkili kuruluşlar TCMB internet sitesinde liste halinde* ilan edilmektedir. Ödeme hizmeti sunmaya yetkili olduğu kesin tespit edilemeyen kişilere itibar edilmemesi ve bunlar aracılığı ile herhangi bir ödeme yapılmaması gerekmektedir.</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 xml:space="preserve">Ayrıca, bankalar, PTT ve listede yer alan ödeme ve elektronik para kuruluşları ile bunların temsilcileri dışında ödeme hizmeti sunulması suçtur. TCMB tarafından izinsiz faaliyet gösteren işletmeler ve kişiler hakkında soruşturma ve kovuşturma yapılmasını </w:t>
      </w:r>
      <w:proofErr w:type="spellStart"/>
      <w:r w:rsidRPr="00086E7D">
        <w:rPr>
          <w:rFonts w:ascii="Roboto" w:eastAsia="Times New Roman" w:hAnsi="Roboto" w:cs="Times New Roman"/>
          <w:color w:val="2D2D2D"/>
          <w:sz w:val="23"/>
          <w:szCs w:val="23"/>
          <w:lang w:eastAsia="tr-TR"/>
        </w:rPr>
        <w:t>teminen</w:t>
      </w:r>
      <w:proofErr w:type="spellEnd"/>
      <w:r w:rsidRPr="00086E7D">
        <w:rPr>
          <w:rFonts w:ascii="Roboto" w:eastAsia="Times New Roman" w:hAnsi="Roboto" w:cs="Times New Roman"/>
          <w:color w:val="2D2D2D"/>
          <w:sz w:val="23"/>
          <w:szCs w:val="23"/>
          <w:lang w:eastAsia="tr-TR"/>
        </w:rPr>
        <w:t xml:space="preserve"> ilgili Cumhuriyet başsavcılıklarına başvuruda bulunulmaktadır. Bu kurum ve kuruluşların dışında ödeme hizmeti alınmaması ve yasal olmayan ödeme hizmeti sunulması iddialarının TCMB’ye bildirilmesi olası mağduriyetleri önleyecektir.</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proofErr w:type="gramStart"/>
      <w:r w:rsidRPr="00086E7D">
        <w:rPr>
          <w:rFonts w:ascii="Roboto" w:eastAsia="Times New Roman" w:hAnsi="Roboto" w:cs="Times New Roman"/>
          <w:color w:val="2D2D2D"/>
          <w:sz w:val="23"/>
          <w:szCs w:val="23"/>
          <w:lang w:eastAsia="tr-TR"/>
        </w:rPr>
        <w:t>Gerekli lisanslar ile izin ve yetkileri olmaksızın ödeme ve elektronik para kuruluşu veya bunların yetkili temsilcisi gibi davranan işletme ve kişilerle karşılaşılması halinde, TCMB internet sitesinde yer alan iletişim sekmesini (</w:t>
      </w:r>
      <w:hyperlink r:id="rId6" w:history="1">
        <w:r w:rsidRPr="00086E7D">
          <w:rPr>
            <w:rFonts w:ascii="Roboto" w:eastAsia="Times New Roman" w:hAnsi="Roboto" w:cs="Times New Roman"/>
            <w:color w:val="1E73BE"/>
            <w:sz w:val="23"/>
            <w:szCs w:val="23"/>
            <w:u w:val="single"/>
            <w:lang w:eastAsia="tr-TR"/>
          </w:rPr>
          <w:t>TCMB-Sorularınız İçin</w:t>
        </w:r>
      </w:hyperlink>
      <w:r w:rsidRPr="00086E7D">
        <w:rPr>
          <w:rFonts w:ascii="Roboto" w:eastAsia="Times New Roman" w:hAnsi="Roboto" w:cs="Times New Roman"/>
          <w:color w:val="2D2D2D"/>
          <w:sz w:val="23"/>
          <w:szCs w:val="23"/>
          <w:lang w:eastAsia="tr-TR"/>
        </w:rPr>
        <w:t>) veya e-Devlet üzerinden TCMB’ye Sorun sekmesini kullanarak ihbarda bulunulması, TCMB tarafından Cumhuriyet başsavcılıklarına başvuruda bulunulabilmesi bakımından önem arz etmektedir.</w:t>
      </w:r>
      <w:proofErr w:type="gramEnd"/>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Kamuoyunun bilgisine sunulur.</w:t>
      </w:r>
    </w:p>
    <w:p w:rsidR="00086E7D" w:rsidRPr="00086E7D" w:rsidRDefault="00086E7D" w:rsidP="00086E7D">
      <w:pPr>
        <w:spacing w:after="150" w:line="312" w:lineRule="atLeast"/>
        <w:outlineLvl w:val="1"/>
        <w:rPr>
          <w:rFonts w:ascii="Roboto" w:eastAsia="Times New Roman" w:hAnsi="Roboto" w:cs="Times New Roman"/>
          <w:b/>
          <w:bCs/>
          <w:color w:val="40454D"/>
          <w:sz w:val="39"/>
          <w:szCs w:val="39"/>
          <w:lang w:eastAsia="tr-TR"/>
        </w:rPr>
      </w:pPr>
      <w:r w:rsidRPr="00086E7D">
        <w:rPr>
          <w:rFonts w:ascii="Roboto" w:eastAsia="Times New Roman" w:hAnsi="Roboto" w:cs="Times New Roman"/>
          <w:b/>
          <w:bCs/>
          <w:color w:val="40454D"/>
          <w:sz w:val="39"/>
          <w:szCs w:val="39"/>
          <w:lang w:eastAsia="tr-TR"/>
        </w:rPr>
        <w:t>Yetkili Ödeme Kuruluşları Listesi</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b/>
          <w:bCs/>
          <w:color w:val="2D2D2D"/>
          <w:sz w:val="23"/>
          <w:szCs w:val="23"/>
          <w:lang w:eastAsia="tr-TR"/>
        </w:rPr>
        <w:t>Aktif Ödeme Kuruluşları</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Aypara</w:t>
      </w:r>
      <w:proofErr w:type="spellEnd"/>
      <w:r w:rsidRPr="00086E7D">
        <w:rPr>
          <w:rFonts w:ascii="Roboto" w:eastAsia="Times New Roman" w:hAnsi="Roboto" w:cs="Times New Roman"/>
          <w:color w:val="2D2D2D"/>
          <w:sz w:val="23"/>
          <w:szCs w:val="23"/>
          <w:lang w:eastAsia="tr-TR"/>
        </w:rPr>
        <w:t xml:space="preserve">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Ceo</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Dgpara</w:t>
      </w:r>
      <w:proofErr w:type="spellEnd"/>
      <w:r w:rsidRPr="00086E7D">
        <w:rPr>
          <w:rFonts w:ascii="Roboto" w:eastAsia="Times New Roman" w:hAnsi="Roboto" w:cs="Times New Roman"/>
          <w:color w:val="2D2D2D"/>
          <w:sz w:val="23"/>
          <w:szCs w:val="23"/>
          <w:lang w:eastAsia="tr-TR"/>
        </w:rPr>
        <w:t xml:space="preserve"> Ödeme ve Elektronik Para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Efix</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Elekse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Faturakom</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lastRenderedPageBreak/>
        <w:t>Föy Fatura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Global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GönderAl</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İstanbul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Klon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Moka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MoneyGram</w:t>
      </w:r>
      <w:proofErr w:type="spellEnd"/>
      <w:r w:rsidRPr="00086E7D">
        <w:rPr>
          <w:rFonts w:ascii="Roboto" w:eastAsia="Times New Roman" w:hAnsi="Roboto" w:cs="Times New Roman"/>
          <w:color w:val="2D2D2D"/>
          <w:sz w:val="23"/>
          <w:szCs w:val="23"/>
          <w:lang w:eastAsia="tr-TR"/>
        </w:rPr>
        <w:t xml:space="preserve"> </w:t>
      </w:r>
      <w:proofErr w:type="spellStart"/>
      <w:r w:rsidRPr="00086E7D">
        <w:rPr>
          <w:rFonts w:ascii="Roboto" w:eastAsia="Times New Roman" w:hAnsi="Roboto" w:cs="Times New Roman"/>
          <w:color w:val="2D2D2D"/>
          <w:sz w:val="23"/>
          <w:szCs w:val="23"/>
          <w:lang w:eastAsia="tr-TR"/>
        </w:rPr>
        <w:t>Turkey</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N Kolay Ödeme ve Elektronik Para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Nestpay</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Octet</w:t>
      </w:r>
      <w:proofErr w:type="spellEnd"/>
      <w:r w:rsidRPr="00086E7D">
        <w:rPr>
          <w:rFonts w:ascii="Roboto" w:eastAsia="Times New Roman" w:hAnsi="Roboto" w:cs="Times New Roman"/>
          <w:color w:val="2D2D2D"/>
          <w:sz w:val="23"/>
          <w:szCs w:val="23"/>
          <w:lang w:eastAsia="tr-TR"/>
        </w:rPr>
        <w:t xml:space="preserve"> Express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Ödeal</w:t>
      </w:r>
      <w:proofErr w:type="spellEnd"/>
      <w:r w:rsidRPr="00086E7D">
        <w:rPr>
          <w:rFonts w:ascii="Roboto" w:eastAsia="Times New Roman" w:hAnsi="Roboto" w:cs="Times New Roman"/>
          <w:color w:val="2D2D2D"/>
          <w:sz w:val="23"/>
          <w:szCs w:val="23"/>
          <w:lang w:eastAsia="tr-TR"/>
        </w:rPr>
        <w:t xml:space="preserve">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Paragram</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 xml:space="preserve">Pay </w:t>
      </w:r>
      <w:proofErr w:type="spellStart"/>
      <w:r w:rsidRPr="00086E7D">
        <w:rPr>
          <w:rFonts w:ascii="Roboto" w:eastAsia="Times New Roman" w:hAnsi="Roboto" w:cs="Times New Roman"/>
          <w:color w:val="2D2D2D"/>
          <w:sz w:val="23"/>
          <w:szCs w:val="23"/>
          <w:lang w:eastAsia="tr-TR"/>
        </w:rPr>
        <w:t>Fix</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Paybull</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Paynet</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Paytrek</w:t>
      </w:r>
      <w:proofErr w:type="spellEnd"/>
      <w:r w:rsidRPr="00086E7D">
        <w:rPr>
          <w:rFonts w:ascii="Roboto" w:eastAsia="Times New Roman" w:hAnsi="Roboto" w:cs="Times New Roman"/>
          <w:color w:val="2D2D2D"/>
          <w:sz w:val="23"/>
          <w:szCs w:val="23"/>
          <w:lang w:eastAsia="tr-TR"/>
        </w:rPr>
        <w:t xml:space="preserve"> Ödeme Kuruluşu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Pratik İşlem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Ria</w:t>
      </w:r>
      <w:proofErr w:type="spellEnd"/>
      <w:r w:rsidRPr="00086E7D">
        <w:rPr>
          <w:rFonts w:ascii="Roboto" w:eastAsia="Times New Roman" w:hAnsi="Roboto" w:cs="Times New Roman"/>
          <w:color w:val="2D2D2D"/>
          <w:sz w:val="23"/>
          <w:szCs w:val="23"/>
          <w:lang w:eastAsia="tr-TR"/>
        </w:rPr>
        <w:t xml:space="preserve"> </w:t>
      </w:r>
      <w:proofErr w:type="spellStart"/>
      <w:r w:rsidRPr="00086E7D">
        <w:rPr>
          <w:rFonts w:ascii="Roboto" w:eastAsia="Times New Roman" w:hAnsi="Roboto" w:cs="Times New Roman"/>
          <w:color w:val="2D2D2D"/>
          <w:sz w:val="23"/>
          <w:szCs w:val="23"/>
          <w:lang w:eastAsia="tr-TR"/>
        </w:rPr>
        <w:t>Turkey</w:t>
      </w:r>
      <w:proofErr w:type="spellEnd"/>
      <w:r w:rsidRPr="00086E7D">
        <w:rPr>
          <w:rFonts w:ascii="Roboto" w:eastAsia="Times New Roman" w:hAnsi="Roboto" w:cs="Times New Roman"/>
          <w:color w:val="2D2D2D"/>
          <w:sz w:val="23"/>
          <w:szCs w:val="23"/>
          <w:lang w:eastAsia="tr-TR"/>
        </w:rPr>
        <w:t xml:space="preserve">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Sender</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Trend Ödeme Kuruluşu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Tronapay</w:t>
      </w:r>
      <w:proofErr w:type="spellEnd"/>
      <w:r w:rsidRPr="00086E7D">
        <w:rPr>
          <w:rFonts w:ascii="Roboto" w:eastAsia="Times New Roman" w:hAnsi="Roboto" w:cs="Times New Roman"/>
          <w:color w:val="2D2D2D"/>
          <w:sz w:val="23"/>
          <w:szCs w:val="23"/>
          <w:lang w:eastAsia="tr-TR"/>
        </w:rPr>
        <w:t xml:space="preser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Vezne24 Tahsilat Sistemleri 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Vizyon Elektronik Para ve Ödeme Hizmetleri A.Ş.</w:t>
      </w:r>
    </w:p>
    <w:p w:rsidR="00086E7D" w:rsidRPr="00086E7D" w:rsidRDefault="00086E7D" w:rsidP="00086E7D">
      <w:pPr>
        <w:numPr>
          <w:ilvl w:val="0"/>
          <w:numId w:val="1"/>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 xml:space="preserve">Western </w:t>
      </w:r>
      <w:proofErr w:type="spellStart"/>
      <w:r w:rsidRPr="00086E7D">
        <w:rPr>
          <w:rFonts w:ascii="Roboto" w:eastAsia="Times New Roman" w:hAnsi="Roboto" w:cs="Times New Roman"/>
          <w:color w:val="2D2D2D"/>
          <w:sz w:val="23"/>
          <w:szCs w:val="23"/>
          <w:lang w:eastAsia="tr-TR"/>
        </w:rPr>
        <w:t>Union</w:t>
      </w:r>
      <w:proofErr w:type="spellEnd"/>
      <w:r w:rsidRPr="00086E7D">
        <w:rPr>
          <w:rFonts w:ascii="Roboto" w:eastAsia="Times New Roman" w:hAnsi="Roboto" w:cs="Times New Roman"/>
          <w:color w:val="2D2D2D"/>
          <w:sz w:val="23"/>
          <w:szCs w:val="23"/>
          <w:lang w:eastAsia="tr-TR"/>
        </w:rPr>
        <w:t xml:space="preserve"> </w:t>
      </w:r>
      <w:proofErr w:type="spellStart"/>
      <w:r w:rsidRPr="00086E7D">
        <w:rPr>
          <w:rFonts w:ascii="Roboto" w:eastAsia="Times New Roman" w:hAnsi="Roboto" w:cs="Times New Roman"/>
          <w:color w:val="2D2D2D"/>
          <w:sz w:val="23"/>
          <w:szCs w:val="23"/>
          <w:lang w:eastAsia="tr-TR"/>
        </w:rPr>
        <w:t>Turkey</w:t>
      </w:r>
      <w:proofErr w:type="spellEnd"/>
      <w:r w:rsidRPr="00086E7D">
        <w:rPr>
          <w:rFonts w:ascii="Roboto" w:eastAsia="Times New Roman" w:hAnsi="Roboto" w:cs="Times New Roman"/>
          <w:color w:val="2D2D2D"/>
          <w:sz w:val="23"/>
          <w:szCs w:val="23"/>
          <w:lang w:eastAsia="tr-TR"/>
        </w:rPr>
        <w:t xml:space="preserve"> Ödeme Hizmetleri A.Ş.</w:t>
      </w:r>
    </w:p>
    <w:p w:rsidR="00086E7D" w:rsidRDefault="00086E7D" w:rsidP="00086E7D">
      <w:pPr>
        <w:spacing w:after="300" w:line="240" w:lineRule="auto"/>
        <w:jc w:val="both"/>
        <w:rPr>
          <w:rFonts w:ascii="Roboto" w:eastAsia="Times New Roman" w:hAnsi="Roboto" w:cs="Times New Roman"/>
          <w:b/>
          <w:bCs/>
          <w:color w:val="2D2D2D"/>
          <w:sz w:val="23"/>
          <w:szCs w:val="23"/>
          <w:lang w:eastAsia="tr-TR"/>
        </w:rPr>
      </w:pP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b/>
          <w:bCs/>
          <w:color w:val="2D2D2D"/>
          <w:sz w:val="23"/>
          <w:szCs w:val="23"/>
          <w:lang w:eastAsia="tr-TR"/>
        </w:rPr>
        <w:t>Faaliyet İzni İptal Edilen Ödeme Kuruluşları</w:t>
      </w:r>
    </w:p>
    <w:p w:rsidR="00086E7D" w:rsidRPr="00086E7D" w:rsidRDefault="00086E7D" w:rsidP="00086E7D">
      <w:pPr>
        <w:numPr>
          <w:ilvl w:val="0"/>
          <w:numId w:val="2"/>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Buradaöde</w:t>
      </w:r>
      <w:proofErr w:type="spellEnd"/>
      <w:r w:rsidRPr="00086E7D">
        <w:rPr>
          <w:rFonts w:ascii="Roboto" w:eastAsia="Times New Roman" w:hAnsi="Roboto" w:cs="Times New Roman"/>
          <w:color w:val="2D2D2D"/>
          <w:sz w:val="23"/>
          <w:szCs w:val="23"/>
          <w:lang w:eastAsia="tr-TR"/>
        </w:rPr>
        <w:t xml:space="preserve"> Ödeme Kuruluşu A.Ş.</w:t>
      </w:r>
    </w:p>
    <w:p w:rsidR="00086E7D" w:rsidRPr="00086E7D" w:rsidRDefault="00086E7D" w:rsidP="00086E7D">
      <w:pPr>
        <w:numPr>
          <w:ilvl w:val="0"/>
          <w:numId w:val="2"/>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Misyon Ödeme Hizmetleri A.Ş.</w:t>
      </w:r>
    </w:p>
    <w:p w:rsidR="00086E7D" w:rsidRPr="00086E7D" w:rsidRDefault="00086E7D" w:rsidP="00086E7D">
      <w:pPr>
        <w:numPr>
          <w:ilvl w:val="0"/>
          <w:numId w:val="2"/>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Tam Fatura Ödeme Hizmetleri A.Ş.</w:t>
      </w:r>
    </w:p>
    <w:p w:rsidR="00086E7D" w:rsidRDefault="00086E7D" w:rsidP="00086E7D">
      <w:pPr>
        <w:spacing w:after="300" w:line="240" w:lineRule="auto"/>
        <w:jc w:val="both"/>
        <w:rPr>
          <w:rFonts w:ascii="Roboto" w:eastAsia="Times New Roman" w:hAnsi="Roboto" w:cs="Times New Roman"/>
          <w:b/>
          <w:bCs/>
          <w:color w:val="2D2D2D"/>
          <w:sz w:val="23"/>
          <w:szCs w:val="23"/>
          <w:lang w:eastAsia="tr-TR"/>
        </w:rPr>
      </w:pP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b/>
          <w:bCs/>
          <w:color w:val="2D2D2D"/>
          <w:sz w:val="23"/>
          <w:szCs w:val="23"/>
          <w:lang w:eastAsia="tr-TR"/>
        </w:rPr>
        <w:t>Faaliyet İzni Sona Eren Ödeme Kuruluşları</w:t>
      </w:r>
    </w:p>
    <w:p w:rsidR="00086E7D" w:rsidRPr="00086E7D" w:rsidRDefault="00086E7D" w:rsidP="00086E7D">
      <w:pPr>
        <w:numPr>
          <w:ilvl w:val="0"/>
          <w:numId w:val="3"/>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PayU</w:t>
      </w:r>
      <w:proofErr w:type="spellEnd"/>
      <w:r w:rsidRPr="00086E7D">
        <w:rPr>
          <w:rFonts w:ascii="Roboto" w:eastAsia="Times New Roman" w:hAnsi="Roboto" w:cs="Times New Roman"/>
          <w:color w:val="2D2D2D"/>
          <w:sz w:val="23"/>
          <w:szCs w:val="23"/>
          <w:lang w:eastAsia="tr-TR"/>
        </w:rPr>
        <w:t xml:space="preserve"> Ödeme Kuruluşu A.Ş.</w:t>
      </w:r>
    </w:p>
    <w:p w:rsidR="00086E7D" w:rsidRDefault="00086E7D" w:rsidP="00086E7D">
      <w:pPr>
        <w:spacing w:after="150" w:line="312" w:lineRule="atLeast"/>
        <w:outlineLvl w:val="1"/>
        <w:rPr>
          <w:rFonts w:ascii="Roboto" w:eastAsia="Times New Roman" w:hAnsi="Roboto" w:cs="Times New Roman"/>
          <w:b/>
          <w:bCs/>
          <w:color w:val="40454D"/>
          <w:sz w:val="39"/>
          <w:szCs w:val="39"/>
          <w:lang w:eastAsia="tr-TR"/>
        </w:rPr>
      </w:pPr>
    </w:p>
    <w:p w:rsidR="00086E7D" w:rsidRPr="00086E7D" w:rsidRDefault="00086E7D" w:rsidP="00086E7D">
      <w:pPr>
        <w:spacing w:after="150" w:line="312" w:lineRule="atLeast"/>
        <w:outlineLvl w:val="1"/>
        <w:rPr>
          <w:rFonts w:ascii="Roboto" w:eastAsia="Times New Roman" w:hAnsi="Roboto" w:cs="Times New Roman"/>
          <w:b/>
          <w:bCs/>
          <w:color w:val="40454D"/>
          <w:sz w:val="39"/>
          <w:szCs w:val="39"/>
          <w:lang w:eastAsia="tr-TR"/>
        </w:rPr>
      </w:pPr>
      <w:r w:rsidRPr="00086E7D">
        <w:rPr>
          <w:rFonts w:ascii="Roboto" w:eastAsia="Times New Roman" w:hAnsi="Roboto" w:cs="Times New Roman"/>
          <w:b/>
          <w:bCs/>
          <w:color w:val="40454D"/>
          <w:sz w:val="39"/>
          <w:szCs w:val="39"/>
          <w:lang w:eastAsia="tr-TR"/>
        </w:rPr>
        <w:t>Yetkili Elektronik Para Kuruluşları Listesi</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b/>
          <w:bCs/>
          <w:color w:val="2D2D2D"/>
          <w:sz w:val="23"/>
          <w:szCs w:val="23"/>
          <w:lang w:eastAsia="tr-TR"/>
        </w:rPr>
        <w:t>Aktif Elektronik Para Kuruluşları</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Ahlatcı</w:t>
      </w:r>
      <w:proofErr w:type="spellEnd"/>
      <w:r w:rsidRPr="00086E7D">
        <w:rPr>
          <w:rFonts w:ascii="Roboto" w:eastAsia="Times New Roman" w:hAnsi="Roboto" w:cs="Times New Roman"/>
          <w:color w:val="2D2D2D"/>
          <w:sz w:val="23"/>
          <w:szCs w:val="23"/>
          <w:lang w:eastAsia="tr-TR"/>
        </w:rPr>
        <w:t xml:space="preserve">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Aköde</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BELBİM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Birleşik Ödeme Hizmetleri ve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BPN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CEMETE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lastRenderedPageBreak/>
        <w:t>D Ödeme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ERPA Ödeme Hizmetleri ve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Faturamatik</w:t>
      </w:r>
      <w:proofErr w:type="spellEnd"/>
      <w:r w:rsidRPr="00086E7D">
        <w:rPr>
          <w:rFonts w:ascii="Roboto" w:eastAsia="Times New Roman" w:hAnsi="Roboto" w:cs="Times New Roman"/>
          <w:color w:val="2D2D2D"/>
          <w:sz w:val="23"/>
          <w:szCs w:val="23"/>
          <w:lang w:eastAsia="tr-TR"/>
        </w:rPr>
        <w:t xml:space="preserve"> Elektronik Para ve Ödeme Kuruluşu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Hızlıöde</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Hızlıpara</w:t>
      </w:r>
      <w:proofErr w:type="spellEnd"/>
      <w:r w:rsidRPr="00086E7D">
        <w:rPr>
          <w:rFonts w:ascii="Roboto" w:eastAsia="Times New Roman" w:hAnsi="Roboto" w:cs="Times New Roman"/>
          <w:color w:val="2D2D2D"/>
          <w:sz w:val="23"/>
          <w:szCs w:val="23"/>
          <w:lang w:eastAsia="tr-TR"/>
        </w:rPr>
        <w:t xml:space="preserve"> Ödeme Hizmetleri ve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IQ Money Ödeme Hizmetleri ve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İninal</w:t>
      </w:r>
      <w:proofErr w:type="spellEnd"/>
      <w:r w:rsidRPr="00086E7D">
        <w:rPr>
          <w:rFonts w:ascii="Roboto" w:eastAsia="Times New Roman" w:hAnsi="Roboto" w:cs="Times New Roman"/>
          <w:color w:val="2D2D2D"/>
          <w:sz w:val="23"/>
          <w:szCs w:val="23"/>
          <w:lang w:eastAsia="tr-TR"/>
        </w:rPr>
        <w:t xml:space="preserve">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İyzi</w:t>
      </w:r>
      <w:proofErr w:type="spellEnd"/>
      <w:r w:rsidRPr="00086E7D">
        <w:rPr>
          <w:rFonts w:ascii="Roboto" w:eastAsia="Times New Roman" w:hAnsi="Roboto" w:cs="Times New Roman"/>
          <w:color w:val="2D2D2D"/>
          <w:sz w:val="23"/>
          <w:szCs w:val="23"/>
          <w:lang w:eastAsia="tr-TR"/>
        </w:rPr>
        <w:t xml:space="preserve">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Lydians</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Ozan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Paladyum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Papara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Paytr</w:t>
      </w:r>
      <w:proofErr w:type="spellEnd"/>
      <w:r w:rsidRPr="00086E7D">
        <w:rPr>
          <w:rFonts w:ascii="Roboto" w:eastAsia="Times New Roman" w:hAnsi="Roboto" w:cs="Times New Roman"/>
          <w:color w:val="2D2D2D"/>
          <w:sz w:val="23"/>
          <w:szCs w:val="23"/>
          <w:lang w:eastAsia="tr-TR"/>
        </w:rPr>
        <w:t xml:space="preserve"> Ödeme ve Elektronik Para Kuruluşu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Sipay</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TT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TURK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Turkcell</w:t>
      </w:r>
      <w:proofErr w:type="spellEnd"/>
      <w:r w:rsidRPr="00086E7D">
        <w:rPr>
          <w:rFonts w:ascii="Roboto" w:eastAsia="Times New Roman" w:hAnsi="Roboto" w:cs="Times New Roman"/>
          <w:color w:val="2D2D2D"/>
          <w:sz w:val="23"/>
          <w:szCs w:val="23"/>
          <w:lang w:eastAsia="tr-TR"/>
        </w:rPr>
        <w:t xml:space="preserve"> Ödeme ve Elektronik Para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r w:rsidRPr="00086E7D">
        <w:rPr>
          <w:rFonts w:ascii="Roboto" w:eastAsia="Times New Roman" w:hAnsi="Roboto" w:cs="Times New Roman"/>
          <w:color w:val="2D2D2D"/>
          <w:sz w:val="23"/>
          <w:szCs w:val="23"/>
          <w:lang w:eastAsia="tr-TR"/>
        </w:rPr>
        <w:t>UPT Ödeme Hizmetleri ve Elektronik Para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Vodafone</w:t>
      </w:r>
      <w:proofErr w:type="spellEnd"/>
      <w:r w:rsidRPr="00086E7D">
        <w:rPr>
          <w:rFonts w:ascii="Roboto" w:eastAsia="Times New Roman" w:hAnsi="Roboto" w:cs="Times New Roman"/>
          <w:color w:val="2D2D2D"/>
          <w:sz w:val="23"/>
          <w:szCs w:val="23"/>
          <w:lang w:eastAsia="tr-TR"/>
        </w:rPr>
        <w:t xml:space="preserve"> Elektronik Para ve Ödeme Hizmetleri A.Ş.</w:t>
      </w:r>
    </w:p>
    <w:p w:rsidR="00086E7D" w:rsidRPr="00086E7D" w:rsidRDefault="00086E7D" w:rsidP="00086E7D">
      <w:pPr>
        <w:numPr>
          <w:ilvl w:val="0"/>
          <w:numId w:val="4"/>
        </w:numPr>
        <w:spacing w:before="100" w:beforeAutospacing="1" w:after="30" w:line="240" w:lineRule="auto"/>
        <w:rPr>
          <w:rFonts w:ascii="Roboto" w:eastAsia="Times New Roman" w:hAnsi="Roboto" w:cs="Times New Roman"/>
          <w:color w:val="2D2D2D"/>
          <w:sz w:val="23"/>
          <w:szCs w:val="23"/>
          <w:lang w:eastAsia="tr-TR"/>
        </w:rPr>
      </w:pPr>
      <w:proofErr w:type="spellStart"/>
      <w:r w:rsidRPr="00086E7D">
        <w:rPr>
          <w:rFonts w:ascii="Roboto" w:eastAsia="Times New Roman" w:hAnsi="Roboto" w:cs="Times New Roman"/>
          <w:color w:val="2D2D2D"/>
          <w:sz w:val="23"/>
          <w:szCs w:val="23"/>
          <w:lang w:eastAsia="tr-TR"/>
        </w:rPr>
        <w:t>Wirecard</w:t>
      </w:r>
      <w:proofErr w:type="spellEnd"/>
      <w:r w:rsidRPr="00086E7D">
        <w:rPr>
          <w:rFonts w:ascii="Roboto" w:eastAsia="Times New Roman" w:hAnsi="Roboto" w:cs="Times New Roman"/>
          <w:color w:val="2D2D2D"/>
          <w:sz w:val="23"/>
          <w:szCs w:val="23"/>
          <w:lang w:eastAsia="tr-TR"/>
        </w:rPr>
        <w:t xml:space="preserve"> Ödeme ve Elektronik Para Hizmetleri A.Ş.</w:t>
      </w:r>
    </w:p>
    <w:p w:rsidR="00086E7D" w:rsidRPr="00086E7D" w:rsidRDefault="00086E7D" w:rsidP="00086E7D">
      <w:pPr>
        <w:spacing w:after="300" w:line="240" w:lineRule="auto"/>
        <w:jc w:val="both"/>
        <w:rPr>
          <w:rFonts w:ascii="Roboto" w:eastAsia="Times New Roman" w:hAnsi="Roboto" w:cs="Times New Roman"/>
          <w:color w:val="2D2D2D"/>
          <w:sz w:val="23"/>
          <w:szCs w:val="23"/>
          <w:lang w:eastAsia="tr-TR"/>
        </w:rPr>
      </w:pPr>
      <w:r w:rsidRPr="00086E7D">
        <w:rPr>
          <w:rFonts w:ascii="Roboto" w:eastAsia="Times New Roman" w:hAnsi="Roboto" w:cs="Times New Roman"/>
          <w:b/>
          <w:bCs/>
          <w:color w:val="2D2D2D"/>
          <w:sz w:val="23"/>
          <w:szCs w:val="23"/>
          <w:lang w:eastAsia="tr-TR"/>
        </w:rPr>
        <w:t>Kaynak:</w:t>
      </w:r>
      <w:r w:rsidRPr="00086E7D">
        <w:rPr>
          <w:rFonts w:ascii="Roboto" w:eastAsia="Times New Roman" w:hAnsi="Roboto" w:cs="Times New Roman"/>
          <w:color w:val="2D2D2D"/>
          <w:sz w:val="23"/>
          <w:szCs w:val="23"/>
          <w:lang w:eastAsia="tr-TR"/>
        </w:rPr>
        <w:t> TCMB</w:t>
      </w:r>
    </w:p>
    <w:p w:rsidR="003D7AF9" w:rsidRDefault="003D7AF9"/>
    <w:sectPr w:rsidR="003D7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F3694"/>
    <w:multiLevelType w:val="multilevel"/>
    <w:tmpl w:val="FF56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828EA"/>
    <w:multiLevelType w:val="multilevel"/>
    <w:tmpl w:val="A098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860B07"/>
    <w:multiLevelType w:val="multilevel"/>
    <w:tmpl w:val="8516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7831AB"/>
    <w:multiLevelType w:val="multilevel"/>
    <w:tmpl w:val="48F8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7D"/>
    <w:rsid w:val="00086E7D"/>
    <w:rsid w:val="00236BCC"/>
    <w:rsid w:val="003D7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9014">
      <w:bodyDiv w:val="1"/>
      <w:marLeft w:val="0"/>
      <w:marRight w:val="0"/>
      <w:marTop w:val="0"/>
      <w:marBottom w:val="0"/>
      <w:divBdr>
        <w:top w:val="none" w:sz="0" w:space="0" w:color="auto"/>
        <w:left w:val="none" w:sz="0" w:space="0" w:color="auto"/>
        <w:bottom w:val="none" w:sz="0" w:space="0" w:color="auto"/>
        <w:right w:val="none" w:sz="0" w:space="0" w:color="auto"/>
      </w:divBdr>
      <w:divsChild>
        <w:div w:id="1374385449">
          <w:marLeft w:val="0"/>
          <w:marRight w:val="0"/>
          <w:marTop w:val="0"/>
          <w:marBottom w:val="240"/>
          <w:divBdr>
            <w:top w:val="none" w:sz="0" w:space="0" w:color="auto"/>
            <w:left w:val="none" w:sz="0" w:space="0" w:color="auto"/>
            <w:bottom w:val="single" w:sz="6" w:space="5" w:color="EAEAEA"/>
            <w:right w:val="none" w:sz="0" w:space="0" w:color="auto"/>
          </w:divBdr>
          <w:divsChild>
            <w:div w:id="2040466325">
              <w:marLeft w:val="0"/>
              <w:marRight w:val="0"/>
              <w:marTop w:val="0"/>
              <w:marBottom w:val="0"/>
              <w:divBdr>
                <w:top w:val="none" w:sz="0" w:space="0" w:color="auto"/>
                <w:left w:val="none" w:sz="0" w:space="0" w:color="auto"/>
                <w:bottom w:val="none" w:sz="0" w:space="0" w:color="auto"/>
                <w:right w:val="none" w:sz="0" w:space="0" w:color="auto"/>
              </w:divBdr>
            </w:div>
          </w:divsChild>
        </w:div>
        <w:div w:id="2061132607">
          <w:marLeft w:val="0"/>
          <w:marRight w:val="0"/>
          <w:marTop w:val="0"/>
          <w:marBottom w:val="0"/>
          <w:divBdr>
            <w:top w:val="none" w:sz="0" w:space="0" w:color="auto"/>
            <w:left w:val="none" w:sz="0" w:space="0" w:color="auto"/>
            <w:bottom w:val="none" w:sz="0" w:space="0" w:color="auto"/>
            <w:right w:val="none" w:sz="0" w:space="0" w:color="auto"/>
          </w:divBdr>
          <w:divsChild>
            <w:div w:id="965896106">
              <w:marLeft w:val="0"/>
              <w:marRight w:val="0"/>
              <w:marTop w:val="0"/>
              <w:marBottom w:val="0"/>
              <w:divBdr>
                <w:top w:val="none" w:sz="0" w:space="0" w:color="auto"/>
                <w:left w:val="none" w:sz="0" w:space="0" w:color="auto"/>
                <w:bottom w:val="none" w:sz="0" w:space="0" w:color="auto"/>
                <w:right w:val="none" w:sz="0" w:space="0" w:color="auto"/>
              </w:divBdr>
              <w:divsChild>
                <w:div w:id="130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cmb.gov.tr/wps/wcm/connect/tr/tcmb+tr/main+menu/banka+hakkinda/iletisim/sorulariniz+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2021-09-18T11:00:00Z</dcterms:created>
  <dcterms:modified xsi:type="dcterms:W3CDTF">2021-09-18T11:03:00Z</dcterms:modified>
</cp:coreProperties>
</file>