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DDC" w:rsidRDefault="00D36DDC" w:rsidP="00D36DDC">
      <w:pPr>
        <w:spacing w:after="0" w:line="240" w:lineRule="auto"/>
        <w:rPr>
          <w:rFonts w:ascii="Arial" w:eastAsia="Times New Roman" w:hAnsi="Arial" w:cs="Arial"/>
          <w:color w:val="FF0000"/>
          <w:sz w:val="44"/>
          <w:szCs w:val="44"/>
          <w:lang w:eastAsia="tr-TR"/>
        </w:rPr>
      </w:pPr>
      <w:r w:rsidRPr="00D36DDC">
        <w:rPr>
          <w:rFonts w:ascii="Arial" w:eastAsia="Times New Roman" w:hAnsi="Arial" w:cs="Arial"/>
          <w:color w:val="FF0000"/>
          <w:sz w:val="44"/>
          <w:szCs w:val="44"/>
          <w:lang w:eastAsia="tr-TR"/>
        </w:rPr>
        <w:t>PARANIN TARİHİ</w:t>
      </w:r>
      <w:r>
        <w:rPr>
          <w:noProof/>
          <w:lang w:eastAsia="tr-TR"/>
        </w:rPr>
        <mc:AlternateContent>
          <mc:Choice Requires="wps">
            <w:drawing>
              <wp:inline distT="0" distB="0" distL="0" distR="0" wp14:anchorId="6330EF41" wp14:editId="08B6CF76">
                <wp:extent cx="304800" cy="304800"/>
                <wp:effectExtent l="0" t="0" r="0" b="0"/>
                <wp:docPr id="1" name="AutoShape 1" descr="https://ms.hmb.gov.tr/uploads/sites/7/2019/09/paran%C4%B1n_tarihi-300x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https://ms.hmb.gov.tr/uploads/sites/7/2019/09/paran%C4%B1n_tarihi-300x6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MGAVewCAAAM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D36DDC" w:rsidRPr="00D36DDC" w:rsidRDefault="00D36DDC" w:rsidP="00D36DDC">
      <w:pPr>
        <w:spacing w:after="0" w:line="240" w:lineRule="auto"/>
        <w:rPr>
          <w:rFonts w:ascii="Arial" w:eastAsia="Times New Roman" w:hAnsi="Arial" w:cs="Arial"/>
          <w:color w:val="FF0000"/>
          <w:sz w:val="44"/>
          <w:szCs w:val="44"/>
          <w:lang w:eastAsia="tr-TR"/>
        </w:rPr>
      </w:pPr>
      <w:r>
        <w:rPr>
          <w:rFonts w:ascii="Arial" w:eastAsia="Times New Roman" w:hAnsi="Arial" w:cs="Arial"/>
          <w:noProof/>
          <w:color w:val="FF0000"/>
          <w:sz w:val="44"/>
          <w:szCs w:val="44"/>
          <w:lang w:eastAsia="tr-TR"/>
        </w:rPr>
        <w:drawing>
          <wp:inline distT="0" distB="0" distL="0" distR="0" wp14:anchorId="04CA530B">
            <wp:extent cx="6305550" cy="14478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1447800"/>
                    </a:xfrm>
                    <a:prstGeom prst="rect">
                      <a:avLst/>
                    </a:prstGeom>
                    <a:noFill/>
                  </pic:spPr>
                </pic:pic>
              </a:graphicData>
            </a:graphic>
          </wp:inline>
        </w:drawing>
      </w:r>
    </w:p>
    <w:p w:rsidR="00D36DDC" w:rsidRPr="00D36DDC" w:rsidRDefault="00D36DDC" w:rsidP="00D36DDC">
      <w:pPr>
        <w:pStyle w:val="ListeParagraf"/>
        <w:numPr>
          <w:ilvl w:val="0"/>
          <w:numId w:val="3"/>
        </w:num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b/>
          <w:bCs/>
          <w:color w:val="212529"/>
          <w:sz w:val="28"/>
          <w:szCs w:val="28"/>
          <w:lang w:eastAsia="tr-TR"/>
        </w:rPr>
        <w:t>Tarihte Para</w:t>
      </w:r>
    </w:p>
    <w:p w:rsidR="00D36DDC" w:rsidRDefault="00D36DDC" w:rsidP="00D36DDC">
      <w:pPr>
        <w:spacing w:after="100" w:afterAutospacing="1" w:line="240" w:lineRule="auto"/>
        <w:ind w:left="360"/>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Tarihteki ilk madeni para basımının M.Ö VII. Yüzyılda Anadolu’da </w:t>
      </w:r>
      <w:proofErr w:type="spellStart"/>
      <w:r w:rsidRPr="00D36DDC">
        <w:rPr>
          <w:rFonts w:ascii="Times New Roman" w:eastAsia="Times New Roman" w:hAnsi="Times New Roman" w:cs="Times New Roman"/>
          <w:color w:val="212529"/>
          <w:sz w:val="28"/>
          <w:szCs w:val="28"/>
          <w:lang w:eastAsia="tr-TR"/>
        </w:rPr>
        <w:t>Lidyalı’lar</w:t>
      </w:r>
      <w:proofErr w:type="spellEnd"/>
      <w:r w:rsidRPr="00D36DDC">
        <w:rPr>
          <w:rFonts w:ascii="Times New Roman" w:eastAsia="Times New Roman" w:hAnsi="Times New Roman" w:cs="Times New Roman"/>
          <w:color w:val="212529"/>
          <w:sz w:val="28"/>
          <w:szCs w:val="28"/>
          <w:lang w:eastAsia="tr-TR"/>
        </w:rPr>
        <w:t xml:space="preserve"> tarafından yapıldığı bilinmektedir. Tarihteki ilk madeni para olma özelliği taşıyan Lidya parası, darp suretiyle basılmıştır. Sabit bir alt kalıp üzerine konan madeni pula hareketli bir üst kalıp yerleştirerek, bir çekiçle vurmak suret</w:t>
      </w:r>
      <w:r>
        <w:rPr>
          <w:rFonts w:ascii="Times New Roman" w:eastAsia="Times New Roman" w:hAnsi="Times New Roman" w:cs="Times New Roman"/>
          <w:color w:val="212529"/>
          <w:sz w:val="28"/>
          <w:szCs w:val="28"/>
          <w:lang w:eastAsia="tr-TR"/>
        </w:rPr>
        <w:t>iyle darp gerçekleştirilmiştir.</w:t>
      </w:r>
    </w:p>
    <w:p w:rsidR="00D36DDC" w:rsidRPr="00D36DDC" w:rsidRDefault="00D36DDC" w:rsidP="00D36DDC">
      <w:pPr>
        <w:spacing w:after="100" w:afterAutospacing="1" w:line="240" w:lineRule="auto"/>
        <w:ind w:left="360"/>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Tarihteki ilk madeni para basım yerinin Anadolu olması özellikle uygarlık gelişiminin göstergesi olarak oldukça önemlidir. Anadolu bu üstünlüğünü sürekli devam ettirmiştir. Dünyanın ilk büyük darphanesi Fatih Sultan Mehmet tarafından İstanbul </w:t>
      </w:r>
      <w:proofErr w:type="spellStart"/>
      <w:r w:rsidRPr="00D36DDC">
        <w:rPr>
          <w:rFonts w:ascii="Times New Roman" w:eastAsia="Times New Roman" w:hAnsi="Times New Roman" w:cs="Times New Roman"/>
          <w:color w:val="212529"/>
          <w:sz w:val="28"/>
          <w:szCs w:val="28"/>
          <w:lang w:eastAsia="tr-TR"/>
        </w:rPr>
        <w:t>Simkeşhane’de</w:t>
      </w:r>
      <w:proofErr w:type="spellEnd"/>
      <w:r w:rsidRPr="00D36DDC">
        <w:rPr>
          <w:rFonts w:ascii="Times New Roman" w:eastAsia="Times New Roman" w:hAnsi="Times New Roman" w:cs="Times New Roman"/>
          <w:color w:val="212529"/>
          <w:sz w:val="28"/>
          <w:szCs w:val="28"/>
          <w:lang w:eastAsia="tr-TR"/>
        </w:rPr>
        <w:t xml:space="preserve"> kurulmuştur.</w:t>
      </w:r>
    </w:p>
    <w:p w:rsidR="00D36DDC" w:rsidRPr="00D36DDC" w:rsidRDefault="00D36DDC" w:rsidP="00D36DDC">
      <w:pPr>
        <w:pStyle w:val="ListeParagraf"/>
        <w:numPr>
          <w:ilvl w:val="0"/>
          <w:numId w:val="3"/>
        </w:num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b/>
          <w:bCs/>
          <w:color w:val="212529"/>
          <w:sz w:val="28"/>
          <w:szCs w:val="28"/>
          <w:lang w:eastAsia="tr-TR"/>
        </w:rPr>
        <w:t>Hatıra Paracılığın Tarihsel Gelişimi</w:t>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Hatıra para basımı, tarihsel gelişim itibariyle madeni para basımından sonra başlamış, onun bir devamı olarak gelişimini sürdürmüş ve 18’inci yüzyılın sonunda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 dalının kurulmasıyla  da bağımsız b</w:t>
      </w:r>
      <w:r>
        <w:rPr>
          <w:rFonts w:ascii="Times New Roman" w:eastAsia="Times New Roman" w:hAnsi="Times New Roman" w:cs="Times New Roman"/>
          <w:color w:val="212529"/>
          <w:sz w:val="28"/>
          <w:szCs w:val="28"/>
          <w:lang w:eastAsia="tr-TR"/>
        </w:rPr>
        <w:t>ir para alanı haline gelmiştir.</w:t>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Tarihte bilinen ilk hatıra paralardan biri, eski Yunan’da Perslere karşı kazanılan zaferin anısına M.Ö. 479 yılında tedavül parası olan gümüş Atina </w:t>
      </w:r>
      <w:proofErr w:type="spellStart"/>
      <w:r w:rsidRPr="00D36DDC">
        <w:rPr>
          <w:rFonts w:ascii="Times New Roman" w:eastAsia="Times New Roman" w:hAnsi="Times New Roman" w:cs="Times New Roman"/>
          <w:color w:val="212529"/>
          <w:sz w:val="28"/>
          <w:szCs w:val="28"/>
          <w:lang w:eastAsia="tr-TR"/>
        </w:rPr>
        <w:t>Tetradrahmisi’nin</w:t>
      </w:r>
      <w:proofErr w:type="spellEnd"/>
      <w:r w:rsidRPr="00D36DDC">
        <w:rPr>
          <w:rFonts w:ascii="Times New Roman" w:eastAsia="Times New Roman" w:hAnsi="Times New Roman" w:cs="Times New Roman"/>
          <w:color w:val="212529"/>
          <w:sz w:val="28"/>
          <w:szCs w:val="28"/>
          <w:lang w:eastAsia="tr-TR"/>
        </w:rPr>
        <w:t xml:space="preserve">  arka yüzündeki desenin değiştirilmesi ve söz konusu paranın çapının büyütülmesi ile basılan Atina </w:t>
      </w:r>
      <w:proofErr w:type="spellStart"/>
      <w:r w:rsidRPr="00D36DDC">
        <w:rPr>
          <w:rFonts w:ascii="Times New Roman" w:eastAsia="Times New Roman" w:hAnsi="Times New Roman" w:cs="Times New Roman"/>
          <w:color w:val="212529"/>
          <w:sz w:val="28"/>
          <w:szCs w:val="28"/>
          <w:lang w:eastAsia="tr-TR"/>
        </w:rPr>
        <w:t>Dekadrahmisi’dir</w:t>
      </w:r>
      <w:proofErr w:type="spellEnd"/>
      <w:r w:rsidRPr="00D36DDC">
        <w:rPr>
          <w:rFonts w:ascii="Times New Roman" w:eastAsia="Times New Roman" w:hAnsi="Times New Roman" w:cs="Times New Roman"/>
          <w:color w:val="212529"/>
          <w:sz w:val="28"/>
          <w:szCs w:val="28"/>
          <w:lang w:eastAsia="tr-TR"/>
        </w:rPr>
        <w:t xml:space="preserve">.  Roma döneminde M.Ö. 61 yılında I. </w:t>
      </w:r>
      <w:proofErr w:type="spellStart"/>
      <w:r w:rsidRPr="00D36DDC">
        <w:rPr>
          <w:rFonts w:ascii="Times New Roman" w:eastAsia="Times New Roman" w:hAnsi="Times New Roman" w:cs="Times New Roman"/>
          <w:color w:val="212529"/>
          <w:sz w:val="28"/>
          <w:szCs w:val="28"/>
          <w:lang w:eastAsia="tr-TR"/>
        </w:rPr>
        <w:t>Triumvira</w:t>
      </w:r>
      <w:proofErr w:type="spellEnd"/>
      <w:r w:rsidRPr="00D36DDC">
        <w:rPr>
          <w:rFonts w:ascii="Times New Roman" w:eastAsia="Times New Roman" w:hAnsi="Times New Roman" w:cs="Times New Roman"/>
          <w:color w:val="212529"/>
          <w:sz w:val="28"/>
          <w:szCs w:val="28"/>
          <w:lang w:eastAsia="tr-TR"/>
        </w:rPr>
        <w:t xml:space="preserve"> zamanında </w:t>
      </w:r>
      <w:proofErr w:type="spellStart"/>
      <w:r w:rsidRPr="00D36DDC">
        <w:rPr>
          <w:rFonts w:ascii="Times New Roman" w:eastAsia="Times New Roman" w:hAnsi="Times New Roman" w:cs="Times New Roman"/>
          <w:color w:val="212529"/>
          <w:sz w:val="28"/>
          <w:szCs w:val="28"/>
          <w:lang w:eastAsia="tr-TR"/>
        </w:rPr>
        <w:t>Pompei’nin</w:t>
      </w:r>
      <w:proofErr w:type="spellEnd"/>
      <w:r w:rsidRPr="00D36DDC">
        <w:rPr>
          <w:rFonts w:ascii="Times New Roman" w:eastAsia="Times New Roman" w:hAnsi="Times New Roman" w:cs="Times New Roman"/>
          <w:color w:val="212529"/>
          <w:sz w:val="28"/>
          <w:szCs w:val="28"/>
          <w:lang w:eastAsia="tr-TR"/>
        </w:rPr>
        <w:t xml:space="preserve"> zaferlerini kutlama anısına </w:t>
      </w:r>
      <w:proofErr w:type="spellStart"/>
      <w:r w:rsidRPr="00D36DDC">
        <w:rPr>
          <w:rFonts w:ascii="Times New Roman" w:eastAsia="Times New Roman" w:hAnsi="Times New Roman" w:cs="Times New Roman"/>
          <w:color w:val="212529"/>
          <w:sz w:val="28"/>
          <w:szCs w:val="28"/>
          <w:lang w:eastAsia="tr-TR"/>
        </w:rPr>
        <w:t>Aureus</w:t>
      </w:r>
      <w:proofErr w:type="spellEnd"/>
      <w:r w:rsidRPr="00D36DDC">
        <w:rPr>
          <w:rFonts w:ascii="Times New Roman" w:eastAsia="Times New Roman" w:hAnsi="Times New Roman" w:cs="Times New Roman"/>
          <w:color w:val="212529"/>
          <w:sz w:val="28"/>
          <w:szCs w:val="28"/>
          <w:lang w:eastAsia="tr-TR"/>
        </w:rPr>
        <w:t xml:space="preserve">  diye bilinen bir hatıra paraya rastlanmıştır. Daha sonra </w:t>
      </w:r>
      <w:proofErr w:type="spellStart"/>
      <w:r w:rsidRPr="00D36DDC">
        <w:rPr>
          <w:rFonts w:ascii="Times New Roman" w:eastAsia="Times New Roman" w:hAnsi="Times New Roman" w:cs="Times New Roman"/>
          <w:color w:val="212529"/>
          <w:sz w:val="28"/>
          <w:szCs w:val="28"/>
          <w:lang w:eastAsia="tr-TR"/>
        </w:rPr>
        <w:t>İmprator</w:t>
      </w:r>
      <w:proofErr w:type="spellEnd"/>
      <w:r w:rsidRPr="00D36DDC">
        <w:rPr>
          <w:rFonts w:ascii="Times New Roman" w:eastAsia="Times New Roman" w:hAnsi="Times New Roman" w:cs="Times New Roman"/>
          <w:color w:val="212529"/>
          <w:sz w:val="28"/>
          <w:szCs w:val="28"/>
          <w:lang w:eastAsia="tr-TR"/>
        </w:rPr>
        <w:t xml:space="preserve"> </w:t>
      </w:r>
      <w:proofErr w:type="spellStart"/>
      <w:r w:rsidRPr="00D36DDC">
        <w:rPr>
          <w:rFonts w:ascii="Times New Roman" w:eastAsia="Times New Roman" w:hAnsi="Times New Roman" w:cs="Times New Roman"/>
          <w:color w:val="212529"/>
          <w:sz w:val="28"/>
          <w:szCs w:val="28"/>
          <w:lang w:eastAsia="tr-TR"/>
        </w:rPr>
        <w:t>Augustus’un</w:t>
      </w:r>
      <w:proofErr w:type="spellEnd"/>
      <w:r w:rsidRPr="00D36DDC">
        <w:rPr>
          <w:rFonts w:ascii="Times New Roman" w:eastAsia="Times New Roman" w:hAnsi="Times New Roman" w:cs="Times New Roman"/>
          <w:color w:val="212529"/>
          <w:sz w:val="28"/>
          <w:szCs w:val="28"/>
          <w:lang w:eastAsia="tr-TR"/>
        </w:rPr>
        <w:t xml:space="preserve"> ölümü anısına çeşitli hatıra paralar çıkarılmıştır. Roma İmparatorluğu döneminde önemli olaylar, çeşitli askeri zaferler, değişik antlaşmalar için hatıra paralar çıkarılmıştır. Çıkarılan hatıra paralar genel olarak tedavülde bulunan paralardan bazılarının arka yüzlerinin değiştirilmesi, </w:t>
      </w:r>
      <w:proofErr w:type="spellStart"/>
      <w:r w:rsidRPr="00D36DDC">
        <w:rPr>
          <w:rFonts w:ascii="Times New Roman" w:eastAsia="Times New Roman" w:hAnsi="Times New Roman" w:cs="Times New Roman"/>
          <w:color w:val="212529"/>
          <w:sz w:val="28"/>
          <w:szCs w:val="28"/>
          <w:lang w:eastAsia="tr-TR"/>
        </w:rPr>
        <w:t>varolan</w:t>
      </w:r>
      <w:proofErr w:type="spellEnd"/>
      <w:r w:rsidRPr="00D36DDC">
        <w:rPr>
          <w:rFonts w:ascii="Times New Roman" w:eastAsia="Times New Roman" w:hAnsi="Times New Roman" w:cs="Times New Roman"/>
          <w:color w:val="212529"/>
          <w:sz w:val="28"/>
          <w:szCs w:val="28"/>
          <w:lang w:eastAsia="tr-TR"/>
        </w:rPr>
        <w:t xml:space="preserve"> paranın boyutlarının değiştirilmesi veya tümüyle o konuya özel bir paranın basılması suretiyle yapılmıştır. Bizans döneminde de, yine çeşitli önemli olayları anmak, kazanılmış zaferleri kutlamak anısına hatıra paralar çıkarılmıştır. Bizans’ta çıkarılan hatıra paralar tedavül paraların değiştirilmesi suretiyle değil, doğrudan gümüş ve altından olmak üzere </w:t>
      </w:r>
      <w:r w:rsidRPr="00D36DDC">
        <w:rPr>
          <w:rFonts w:ascii="Times New Roman" w:eastAsia="Times New Roman" w:hAnsi="Times New Roman" w:cs="Times New Roman"/>
          <w:color w:val="212529"/>
          <w:sz w:val="28"/>
          <w:szCs w:val="28"/>
          <w:lang w:eastAsia="tr-TR"/>
        </w:rPr>
        <w:lastRenderedPageBreak/>
        <w:t xml:space="preserve">ayrı hatıra para olarak basılmıştır. Bu hatıra paralar </w:t>
      </w:r>
      <w:proofErr w:type="spellStart"/>
      <w:r w:rsidRPr="00D36DDC">
        <w:rPr>
          <w:rFonts w:ascii="Times New Roman" w:eastAsia="Times New Roman" w:hAnsi="Times New Roman" w:cs="Times New Roman"/>
          <w:color w:val="212529"/>
          <w:sz w:val="28"/>
          <w:szCs w:val="28"/>
          <w:lang w:eastAsia="tr-TR"/>
        </w:rPr>
        <w:t>Constantinople</w:t>
      </w:r>
      <w:proofErr w:type="spellEnd"/>
      <w:r w:rsidRPr="00D36DDC">
        <w:rPr>
          <w:rFonts w:ascii="Times New Roman" w:eastAsia="Times New Roman" w:hAnsi="Times New Roman" w:cs="Times New Roman"/>
          <w:color w:val="212529"/>
          <w:sz w:val="28"/>
          <w:szCs w:val="28"/>
          <w:lang w:eastAsia="tr-TR"/>
        </w:rPr>
        <w:t xml:space="preserve"> </w:t>
      </w:r>
      <w:proofErr w:type="spellStart"/>
      <w:r>
        <w:rPr>
          <w:rFonts w:ascii="Times New Roman" w:eastAsia="Times New Roman" w:hAnsi="Times New Roman" w:cs="Times New Roman"/>
          <w:color w:val="212529"/>
          <w:sz w:val="28"/>
          <w:szCs w:val="28"/>
          <w:lang w:eastAsia="tr-TR"/>
        </w:rPr>
        <w:t>Darphanesi’nde</w:t>
      </w:r>
      <w:proofErr w:type="spellEnd"/>
      <w:r>
        <w:rPr>
          <w:rFonts w:ascii="Times New Roman" w:eastAsia="Times New Roman" w:hAnsi="Times New Roman" w:cs="Times New Roman"/>
          <w:color w:val="212529"/>
          <w:sz w:val="28"/>
          <w:szCs w:val="28"/>
          <w:lang w:eastAsia="tr-TR"/>
        </w:rPr>
        <w:t xml:space="preserve"> basılmıştır.</w:t>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Osmanlı İmparatorluğu’nda özel bir hatıra para uygulamasından söz etmek oldukça zordur. Ancak, Osmanlı İmparatorluğu’nun son yıllarında görülmeye başlanan “seyahat </w:t>
      </w:r>
      <w:proofErr w:type="spellStart"/>
      <w:r w:rsidRPr="00D36DDC">
        <w:rPr>
          <w:rFonts w:ascii="Times New Roman" w:eastAsia="Times New Roman" w:hAnsi="Times New Roman" w:cs="Times New Roman"/>
          <w:color w:val="212529"/>
          <w:sz w:val="28"/>
          <w:szCs w:val="28"/>
          <w:lang w:eastAsia="tr-TR"/>
        </w:rPr>
        <w:t>paraları”nı</w:t>
      </w:r>
      <w:proofErr w:type="spellEnd"/>
      <w:r w:rsidRPr="00D36DDC">
        <w:rPr>
          <w:rFonts w:ascii="Times New Roman" w:eastAsia="Times New Roman" w:hAnsi="Times New Roman" w:cs="Times New Roman"/>
          <w:color w:val="212529"/>
          <w:sz w:val="28"/>
          <w:szCs w:val="28"/>
          <w:lang w:eastAsia="tr-TR"/>
        </w:rPr>
        <w:t xml:space="preserve"> bu kapsamda değerlendirmek olanaklıdır. </w:t>
      </w:r>
      <w:proofErr w:type="gramStart"/>
      <w:r w:rsidRPr="00D36DDC">
        <w:rPr>
          <w:rFonts w:ascii="Times New Roman" w:eastAsia="Times New Roman" w:hAnsi="Times New Roman" w:cs="Times New Roman"/>
          <w:color w:val="212529"/>
          <w:sz w:val="28"/>
          <w:szCs w:val="28"/>
          <w:lang w:eastAsia="tr-TR"/>
        </w:rPr>
        <w:t xml:space="preserve">Örneğin; Sultan II. Mahmut’un Edirne ziyareti nedeniyle 24. </w:t>
      </w:r>
      <w:proofErr w:type="spellStart"/>
      <w:r w:rsidRPr="00D36DDC">
        <w:rPr>
          <w:rFonts w:ascii="Times New Roman" w:eastAsia="Times New Roman" w:hAnsi="Times New Roman" w:cs="Times New Roman"/>
          <w:color w:val="212529"/>
          <w:sz w:val="28"/>
          <w:szCs w:val="28"/>
          <w:lang w:eastAsia="tr-TR"/>
        </w:rPr>
        <w:t>Culus</w:t>
      </w:r>
      <w:proofErr w:type="spellEnd"/>
      <w:r w:rsidRPr="00D36DDC">
        <w:rPr>
          <w:rFonts w:ascii="Times New Roman" w:eastAsia="Times New Roman" w:hAnsi="Times New Roman" w:cs="Times New Roman"/>
          <w:color w:val="212529"/>
          <w:sz w:val="28"/>
          <w:szCs w:val="28"/>
          <w:lang w:eastAsia="tr-TR"/>
        </w:rPr>
        <w:t xml:space="preserve"> yılında </w:t>
      </w:r>
      <w:proofErr w:type="spellStart"/>
      <w:r w:rsidRPr="00D36DDC">
        <w:rPr>
          <w:rFonts w:ascii="Times New Roman" w:eastAsia="Times New Roman" w:hAnsi="Times New Roman" w:cs="Times New Roman"/>
          <w:color w:val="212529"/>
          <w:sz w:val="28"/>
          <w:szCs w:val="28"/>
          <w:lang w:eastAsia="tr-TR"/>
        </w:rPr>
        <w:t>Memduhiye</w:t>
      </w:r>
      <w:proofErr w:type="spellEnd"/>
      <w:r w:rsidRPr="00D36DDC">
        <w:rPr>
          <w:rFonts w:ascii="Times New Roman" w:eastAsia="Times New Roman" w:hAnsi="Times New Roman" w:cs="Times New Roman"/>
          <w:color w:val="212529"/>
          <w:sz w:val="28"/>
          <w:szCs w:val="28"/>
          <w:lang w:eastAsia="tr-TR"/>
        </w:rPr>
        <w:t xml:space="preserve"> Altını tarzında basılmış olan Edirne Seyahat Altını; Sultan </w:t>
      </w:r>
      <w:proofErr w:type="spellStart"/>
      <w:r w:rsidRPr="00D36DDC">
        <w:rPr>
          <w:rFonts w:ascii="Times New Roman" w:eastAsia="Times New Roman" w:hAnsi="Times New Roman" w:cs="Times New Roman"/>
          <w:color w:val="212529"/>
          <w:sz w:val="28"/>
          <w:szCs w:val="28"/>
          <w:lang w:eastAsia="tr-TR"/>
        </w:rPr>
        <w:t>Abdulmecid’in</w:t>
      </w:r>
      <w:proofErr w:type="spellEnd"/>
      <w:r w:rsidRPr="00D36DDC">
        <w:rPr>
          <w:rFonts w:ascii="Times New Roman" w:eastAsia="Times New Roman" w:hAnsi="Times New Roman" w:cs="Times New Roman"/>
          <w:color w:val="212529"/>
          <w:sz w:val="28"/>
          <w:szCs w:val="28"/>
          <w:lang w:eastAsia="tr-TR"/>
        </w:rPr>
        <w:t xml:space="preserve"> Edirne Seyahati nedeniyle bastırılan seyahat altını; Sultan </w:t>
      </w:r>
      <w:proofErr w:type="spellStart"/>
      <w:r w:rsidRPr="00D36DDC">
        <w:rPr>
          <w:rFonts w:ascii="Times New Roman" w:eastAsia="Times New Roman" w:hAnsi="Times New Roman" w:cs="Times New Roman"/>
          <w:color w:val="212529"/>
          <w:sz w:val="28"/>
          <w:szCs w:val="28"/>
          <w:lang w:eastAsia="tr-TR"/>
        </w:rPr>
        <w:t>Abdulaziz’in</w:t>
      </w:r>
      <w:proofErr w:type="spellEnd"/>
      <w:r w:rsidRPr="00D36DDC">
        <w:rPr>
          <w:rFonts w:ascii="Times New Roman" w:eastAsia="Times New Roman" w:hAnsi="Times New Roman" w:cs="Times New Roman"/>
          <w:color w:val="212529"/>
          <w:sz w:val="28"/>
          <w:szCs w:val="28"/>
          <w:lang w:eastAsia="tr-TR"/>
        </w:rPr>
        <w:t xml:space="preserve"> Bursa seyahati için bastırılan altın ve gümüş seyahat paraları; Sultan V. </w:t>
      </w:r>
      <w:proofErr w:type="spellStart"/>
      <w:r w:rsidRPr="00D36DDC">
        <w:rPr>
          <w:rFonts w:ascii="Times New Roman" w:eastAsia="Times New Roman" w:hAnsi="Times New Roman" w:cs="Times New Roman"/>
          <w:color w:val="212529"/>
          <w:sz w:val="28"/>
          <w:szCs w:val="28"/>
          <w:lang w:eastAsia="tr-TR"/>
        </w:rPr>
        <w:t>Mehmed</w:t>
      </w:r>
      <w:proofErr w:type="spellEnd"/>
      <w:r w:rsidRPr="00D36DDC">
        <w:rPr>
          <w:rFonts w:ascii="Times New Roman" w:eastAsia="Times New Roman" w:hAnsi="Times New Roman" w:cs="Times New Roman"/>
          <w:color w:val="212529"/>
          <w:sz w:val="28"/>
          <w:szCs w:val="28"/>
          <w:lang w:eastAsia="tr-TR"/>
        </w:rPr>
        <w:t xml:space="preserve"> </w:t>
      </w:r>
      <w:proofErr w:type="spellStart"/>
      <w:r w:rsidRPr="00D36DDC">
        <w:rPr>
          <w:rFonts w:ascii="Times New Roman" w:eastAsia="Times New Roman" w:hAnsi="Times New Roman" w:cs="Times New Roman"/>
          <w:color w:val="212529"/>
          <w:sz w:val="28"/>
          <w:szCs w:val="28"/>
          <w:lang w:eastAsia="tr-TR"/>
        </w:rPr>
        <w:t>Reşad’ın</w:t>
      </w:r>
      <w:proofErr w:type="spellEnd"/>
      <w:r w:rsidRPr="00D36DDC">
        <w:rPr>
          <w:rFonts w:ascii="Times New Roman" w:eastAsia="Times New Roman" w:hAnsi="Times New Roman" w:cs="Times New Roman"/>
          <w:color w:val="212529"/>
          <w:sz w:val="28"/>
          <w:szCs w:val="28"/>
          <w:lang w:eastAsia="tr-TR"/>
        </w:rPr>
        <w:t xml:space="preserve"> Bursa, Edirne, Kosova, Manastır ve Selanik seyahatleri için altın ve gümüş olarak bastırılan seyahat paraları bunlara örnek olarak verilebilir.</w:t>
      </w:r>
      <w:proofErr w:type="gramEnd"/>
    </w:p>
    <w:p w:rsidR="005F690D" w:rsidRPr="00D36DDC" w:rsidRDefault="005F690D"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
    <w:p w:rsidR="00D36DDC" w:rsidRPr="00D36DDC" w:rsidRDefault="00D36DDC" w:rsidP="00D36DDC">
      <w:pPr>
        <w:pStyle w:val="ListeParagraf"/>
        <w:numPr>
          <w:ilvl w:val="0"/>
          <w:numId w:val="3"/>
        </w:numPr>
        <w:spacing w:after="100" w:afterAutospacing="1" w:line="240" w:lineRule="auto"/>
        <w:jc w:val="both"/>
        <w:rPr>
          <w:rFonts w:ascii="Times New Roman" w:eastAsia="Times New Roman" w:hAnsi="Times New Roman" w:cs="Times New Roman"/>
          <w:color w:val="212529"/>
          <w:sz w:val="28"/>
          <w:szCs w:val="28"/>
          <w:lang w:eastAsia="tr-TR"/>
        </w:rPr>
      </w:pPr>
      <w:proofErr w:type="spellStart"/>
      <w:r w:rsidRPr="00D36DDC">
        <w:rPr>
          <w:rFonts w:ascii="Times New Roman" w:eastAsia="Times New Roman" w:hAnsi="Times New Roman" w:cs="Times New Roman"/>
          <w:b/>
          <w:bCs/>
          <w:color w:val="212529"/>
          <w:sz w:val="28"/>
          <w:szCs w:val="28"/>
          <w:lang w:eastAsia="tr-TR"/>
        </w:rPr>
        <w:t>Nümismatik</w:t>
      </w:r>
      <w:proofErr w:type="spellEnd"/>
      <w:r w:rsidRPr="00D36DDC">
        <w:rPr>
          <w:rFonts w:ascii="Times New Roman" w:eastAsia="Times New Roman" w:hAnsi="Times New Roman" w:cs="Times New Roman"/>
          <w:b/>
          <w:bCs/>
          <w:color w:val="212529"/>
          <w:sz w:val="28"/>
          <w:szCs w:val="28"/>
          <w:lang w:eastAsia="tr-TR"/>
        </w:rPr>
        <w:t xml:space="preserve"> Biliminin Tarihsel Gelişimi</w:t>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sözcüğü, para anlamına gelen Latince </w:t>
      </w:r>
      <w:proofErr w:type="spellStart"/>
      <w:r w:rsidRPr="00D36DDC">
        <w:rPr>
          <w:rFonts w:ascii="Times New Roman" w:eastAsia="Times New Roman" w:hAnsi="Times New Roman" w:cs="Times New Roman"/>
          <w:i/>
          <w:iCs/>
          <w:color w:val="212529"/>
          <w:sz w:val="28"/>
          <w:szCs w:val="28"/>
          <w:lang w:eastAsia="tr-TR"/>
        </w:rPr>
        <w:t>nümisma</w:t>
      </w:r>
      <w:proofErr w:type="spellEnd"/>
      <w:r w:rsidRPr="00D36DDC">
        <w:rPr>
          <w:rFonts w:ascii="Times New Roman" w:eastAsia="Times New Roman" w:hAnsi="Times New Roman" w:cs="Times New Roman"/>
          <w:color w:val="212529"/>
          <w:sz w:val="28"/>
          <w:szCs w:val="28"/>
          <w:lang w:eastAsia="tr-TR"/>
        </w:rPr>
        <w:t xml:space="preserve"> sözcüğünden gelmektedir. Para, madalya ve jetonların betimlenmesi ve tarihiyle uğraşan bilimdir. İlk antik para koleksiyonları, Rönesans döneminde, Roma ve Yunan tarihindeki ünlü kişilerin portrelerini araştıran hümanistler tarafından oluşturuldu. Bu koleksiyonlara zamanla eski siteler tarafından bastırılan, yorumlanması daha güç paralar da katılmaya başladı. Daha sonraları, Yeniçağ para ve madalyaları da toplandı. Tüm bu nesnelerin anlaşılması ve sınıflandırılması,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biliminin temelini oluşturur. G. </w:t>
      </w:r>
      <w:proofErr w:type="spellStart"/>
      <w:r w:rsidRPr="00D36DDC">
        <w:rPr>
          <w:rFonts w:ascii="Times New Roman" w:eastAsia="Times New Roman" w:hAnsi="Times New Roman" w:cs="Times New Roman"/>
          <w:color w:val="212529"/>
          <w:sz w:val="28"/>
          <w:szCs w:val="28"/>
          <w:lang w:eastAsia="tr-TR"/>
        </w:rPr>
        <w:t>Budé’nin</w:t>
      </w:r>
      <w:proofErr w:type="spellEnd"/>
      <w:r w:rsidRPr="00D36DDC">
        <w:rPr>
          <w:rFonts w:ascii="Times New Roman" w:eastAsia="Times New Roman" w:hAnsi="Times New Roman" w:cs="Times New Roman"/>
          <w:color w:val="212529"/>
          <w:sz w:val="28"/>
          <w:szCs w:val="28"/>
          <w:lang w:eastAsia="tr-TR"/>
        </w:rPr>
        <w:t> </w:t>
      </w:r>
      <w:r w:rsidRPr="00D36DDC">
        <w:rPr>
          <w:rFonts w:ascii="Times New Roman" w:eastAsia="Times New Roman" w:hAnsi="Times New Roman" w:cs="Times New Roman"/>
          <w:i/>
          <w:iCs/>
          <w:color w:val="212529"/>
          <w:sz w:val="28"/>
          <w:szCs w:val="28"/>
          <w:lang w:eastAsia="tr-TR"/>
        </w:rPr>
        <w:t xml:space="preserve">De </w:t>
      </w:r>
      <w:proofErr w:type="spellStart"/>
      <w:r w:rsidRPr="00D36DDC">
        <w:rPr>
          <w:rFonts w:ascii="Times New Roman" w:eastAsia="Times New Roman" w:hAnsi="Times New Roman" w:cs="Times New Roman"/>
          <w:i/>
          <w:iCs/>
          <w:color w:val="212529"/>
          <w:sz w:val="28"/>
          <w:szCs w:val="28"/>
          <w:lang w:eastAsia="tr-TR"/>
        </w:rPr>
        <w:t>asse</w:t>
      </w:r>
      <w:proofErr w:type="spellEnd"/>
      <w:r w:rsidRPr="00D36DDC">
        <w:rPr>
          <w:rFonts w:ascii="Times New Roman" w:eastAsia="Times New Roman" w:hAnsi="Times New Roman" w:cs="Times New Roman"/>
          <w:color w:val="212529"/>
          <w:sz w:val="28"/>
          <w:szCs w:val="28"/>
          <w:lang w:eastAsia="tr-TR"/>
        </w:rPr>
        <w:t> (1514) adlı yapıtından bu yana, paraları her yanıyla ele alan birçok inceleme yayımlanmıştır.</w:t>
      </w:r>
      <w:r w:rsidRPr="00D36DDC">
        <w:rPr>
          <w:rFonts w:ascii="Times New Roman" w:eastAsia="Times New Roman" w:hAnsi="Times New Roman" w:cs="Times New Roman"/>
          <w:color w:val="212529"/>
          <w:sz w:val="28"/>
          <w:szCs w:val="28"/>
          <w:lang w:eastAsia="tr-TR"/>
        </w:rPr>
        <w:br/>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18’inci yüzyıl sonundan itibaren Arkeoloji bilim dalının alt bilim dallarından biri haline gelmiştir. Bu bilim dalı; madeni paraların (sikkelerin) tarihsel geçmişi, taşıdıkları özellikler, basım teknikleri, basıldıkları madenlerin özelliği, üzerlerinde bulunan yazı ve figürlerin analizi, paranın basıldığı dönemin ekonomik, toplumsal ve siyasal yapısının araştırılması gibi çok değişik konuları kendisine ana konu olarak seçmiştir.</w:t>
      </w:r>
      <w:r w:rsidRPr="00D36DDC">
        <w:rPr>
          <w:rFonts w:ascii="Times New Roman" w:eastAsia="Times New Roman" w:hAnsi="Times New Roman" w:cs="Times New Roman"/>
          <w:color w:val="212529"/>
          <w:sz w:val="28"/>
          <w:szCs w:val="28"/>
          <w:lang w:eastAsia="tr-TR"/>
        </w:rPr>
        <w:br/>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bilimi; arkeoloji, paleografi, din tarihi, mitoloji, kronoloji, metroloji, coğrafya, ekonomi, ekonomi tarihi, siyasal tarih, sosyoloji gibi bilim dallarıyla çok yakın ilişki içinde </w:t>
      </w:r>
      <w:proofErr w:type="spellStart"/>
      <w:r w:rsidRPr="00D36DDC">
        <w:rPr>
          <w:rFonts w:ascii="Times New Roman" w:eastAsia="Times New Roman" w:hAnsi="Times New Roman" w:cs="Times New Roman"/>
          <w:color w:val="212529"/>
          <w:sz w:val="28"/>
          <w:szCs w:val="28"/>
          <w:lang w:eastAsia="tr-TR"/>
        </w:rPr>
        <w:t>bulunur.</w:t>
      </w:r>
      <w:proofErr w:type="spellEnd"/>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Pr>
          <w:noProof/>
          <w:lang w:eastAsia="tr-TR"/>
        </w:rPr>
        <mc:AlternateContent>
          <mc:Choice Requires="wps">
            <w:drawing>
              <wp:inline distT="0" distB="0" distL="0" distR="0" wp14:anchorId="2CEEA82B" wp14:editId="0846994C">
                <wp:extent cx="304800" cy="304800"/>
                <wp:effectExtent l="0" t="0" r="0" b="0"/>
                <wp:docPr id="16" name="AutoShape 13" descr="https://ms.hmb.gov.tr/uploads/sites/7/2019/09/paran%C4%B1n_tarihi1-300x1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Açıklama: https://ms.hmb.gov.tr/uploads/sites/7/2019/09/paran%C4%B1n_tarihi1-300x1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n+akq8QIAABA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Pr>
          <w:rFonts w:ascii="Times New Roman" w:eastAsia="Times New Roman" w:hAnsi="Times New Roman" w:cs="Times New Roman"/>
          <w:noProof/>
          <w:color w:val="212529"/>
          <w:sz w:val="28"/>
          <w:szCs w:val="28"/>
          <w:lang w:eastAsia="tr-TR"/>
        </w:rPr>
        <w:drawing>
          <wp:inline distT="0" distB="0" distL="0" distR="0" wp14:anchorId="70A074FF">
            <wp:extent cx="2521404" cy="109276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1404" cy="1092766"/>
                    </a:xfrm>
                    <a:prstGeom prst="rect">
                      <a:avLst/>
                    </a:prstGeom>
                    <a:noFill/>
                  </pic:spPr>
                </pic:pic>
              </a:graphicData>
            </a:graphic>
          </wp:inline>
        </w:drawing>
      </w: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
    <w:p w:rsid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
    <w:p w:rsidR="00D36DDC" w:rsidRP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biliminin ana konusu olan sikkeler bizlere aşağıdaki yararları sağlar: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Kaybolmuş uygarlıkların, kentlerin ve yerleşim yerlerinin kesin olarak belirlenmesine katkı sağlar.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Özellikle tarihsel süreç içinde egemenliği elinde tutmuş kişilerin ve ailelerin soylarını bildirir.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Çeşitli nedenlerle tarihsel süreç içinde yok olmuş anıt ve yapılara ilişkin kanıtlar sunar.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Yerleşim yerlerine, yönetenlere verilmiş ad ve unvanları gösterir.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Hükümdarların saltanatlarının başlangıç tarihlerinin, almış oldukları unvanların ve sanların, dönemleri boyunca yaptıkları işlerin, kazandıkları zaferlerin ya da yenilgilerin kesin biçimde belirlenmesine yardım eder.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Soyu tükenmiş bitki ve hayvanların varlıklarını bildirir ve kanıtlar.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Sikkenin basımında kullanılan madenin türüne göre o toplumun, o dönemdeki ekonomik durumu konusunda ciddi ipuçları sağlar.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Yazılı tarihlerde anlatılan olayların kanıtlanmasına yardım eder.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Sikkenin basıldığı dönemin dinsel inançları konusunda bilgi verir.</w:t>
      </w:r>
    </w:p>
    <w:p w:rsidR="00D36DDC" w:rsidRPr="00D36DDC" w:rsidRDefault="00D36DDC" w:rsidP="00D36DDC">
      <w:pPr>
        <w:numPr>
          <w:ilvl w:val="0"/>
          <w:numId w:val="1"/>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Sikkeyi basan devletin egemenlik alanlarının tespitinde ciddi delil niteliği taşır.</w:t>
      </w:r>
    </w:p>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Türkiye’de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biliminin gelişime bakıldığında; </w:t>
      </w:r>
      <w:proofErr w:type="spellStart"/>
      <w:r w:rsidRPr="00D36DDC">
        <w:rPr>
          <w:rFonts w:ascii="Times New Roman" w:eastAsia="Times New Roman" w:hAnsi="Times New Roman" w:cs="Times New Roman"/>
          <w:color w:val="212529"/>
          <w:sz w:val="28"/>
          <w:szCs w:val="28"/>
          <w:lang w:eastAsia="tr-TR"/>
        </w:rPr>
        <w:t>Abdüllatif</w:t>
      </w:r>
      <w:proofErr w:type="spellEnd"/>
      <w:r w:rsidRPr="00D36DDC">
        <w:rPr>
          <w:rFonts w:ascii="Times New Roman" w:eastAsia="Times New Roman" w:hAnsi="Times New Roman" w:cs="Times New Roman"/>
          <w:color w:val="212529"/>
          <w:sz w:val="28"/>
          <w:szCs w:val="28"/>
          <w:lang w:eastAsia="tr-TR"/>
        </w:rPr>
        <w:t xml:space="preserve"> Suphi Paşa (1818-1886), ilk Türk </w:t>
      </w:r>
      <w:proofErr w:type="spellStart"/>
      <w:r w:rsidRPr="00D36DDC">
        <w:rPr>
          <w:rFonts w:ascii="Times New Roman" w:eastAsia="Times New Roman" w:hAnsi="Times New Roman" w:cs="Times New Roman"/>
          <w:color w:val="212529"/>
          <w:sz w:val="28"/>
          <w:szCs w:val="28"/>
          <w:lang w:eastAsia="tr-TR"/>
        </w:rPr>
        <w:t>nümismatı</w:t>
      </w:r>
      <w:proofErr w:type="spellEnd"/>
      <w:r w:rsidRPr="00D36DDC">
        <w:rPr>
          <w:rFonts w:ascii="Times New Roman" w:eastAsia="Times New Roman" w:hAnsi="Times New Roman" w:cs="Times New Roman"/>
          <w:color w:val="212529"/>
          <w:sz w:val="28"/>
          <w:szCs w:val="28"/>
          <w:lang w:eastAsia="tr-TR"/>
        </w:rPr>
        <w:t xml:space="preserve"> olarak karşımıza çıkmaktadır. Türk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tarihi açısından önem taşıyan diğer bazı adlar şöyledir:</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İsmail </w:t>
      </w:r>
      <w:proofErr w:type="spellStart"/>
      <w:r w:rsidRPr="00D36DDC">
        <w:rPr>
          <w:rFonts w:ascii="Times New Roman" w:eastAsia="Times New Roman" w:hAnsi="Times New Roman" w:cs="Times New Roman"/>
          <w:color w:val="212529"/>
          <w:sz w:val="28"/>
          <w:szCs w:val="28"/>
          <w:lang w:eastAsia="tr-TR"/>
        </w:rPr>
        <w:t>Galib</w:t>
      </w:r>
      <w:proofErr w:type="spellEnd"/>
      <w:r w:rsidRPr="00D36DDC">
        <w:rPr>
          <w:rFonts w:ascii="Times New Roman" w:eastAsia="Times New Roman" w:hAnsi="Times New Roman" w:cs="Times New Roman"/>
          <w:color w:val="212529"/>
          <w:sz w:val="28"/>
          <w:szCs w:val="28"/>
          <w:lang w:eastAsia="tr-TR"/>
        </w:rPr>
        <w:t xml:space="preserve"> Bey (1848-1895)</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Halil </w:t>
      </w:r>
      <w:proofErr w:type="spellStart"/>
      <w:r w:rsidRPr="00D36DDC">
        <w:rPr>
          <w:rFonts w:ascii="Times New Roman" w:eastAsia="Times New Roman" w:hAnsi="Times New Roman" w:cs="Times New Roman"/>
          <w:color w:val="212529"/>
          <w:sz w:val="28"/>
          <w:szCs w:val="28"/>
          <w:lang w:eastAsia="tr-TR"/>
        </w:rPr>
        <w:t>Edhem</w:t>
      </w:r>
      <w:proofErr w:type="spellEnd"/>
      <w:r w:rsidRPr="00D36DDC">
        <w:rPr>
          <w:rFonts w:ascii="Times New Roman" w:eastAsia="Times New Roman" w:hAnsi="Times New Roman" w:cs="Times New Roman"/>
          <w:color w:val="212529"/>
          <w:sz w:val="28"/>
          <w:szCs w:val="28"/>
          <w:lang w:eastAsia="tr-TR"/>
        </w:rPr>
        <w:t xml:space="preserve"> Eldem (1861-1938)</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proofErr w:type="spellStart"/>
      <w:r w:rsidRPr="00D36DDC">
        <w:rPr>
          <w:rFonts w:ascii="Times New Roman" w:eastAsia="Times New Roman" w:hAnsi="Times New Roman" w:cs="Times New Roman"/>
          <w:color w:val="212529"/>
          <w:sz w:val="28"/>
          <w:szCs w:val="28"/>
          <w:lang w:eastAsia="tr-TR"/>
        </w:rPr>
        <w:t>Ahmed</w:t>
      </w:r>
      <w:proofErr w:type="spellEnd"/>
      <w:r w:rsidRPr="00D36DDC">
        <w:rPr>
          <w:rFonts w:ascii="Times New Roman" w:eastAsia="Times New Roman" w:hAnsi="Times New Roman" w:cs="Times New Roman"/>
          <w:color w:val="212529"/>
          <w:sz w:val="28"/>
          <w:szCs w:val="28"/>
          <w:lang w:eastAsia="tr-TR"/>
        </w:rPr>
        <w:t xml:space="preserve"> </w:t>
      </w:r>
      <w:proofErr w:type="spellStart"/>
      <w:r w:rsidRPr="00D36DDC">
        <w:rPr>
          <w:rFonts w:ascii="Times New Roman" w:eastAsia="Times New Roman" w:hAnsi="Times New Roman" w:cs="Times New Roman"/>
          <w:color w:val="212529"/>
          <w:sz w:val="28"/>
          <w:szCs w:val="28"/>
          <w:lang w:eastAsia="tr-TR"/>
        </w:rPr>
        <w:t>Tevhid</w:t>
      </w:r>
      <w:proofErr w:type="spellEnd"/>
      <w:r w:rsidRPr="00D36DDC">
        <w:rPr>
          <w:rFonts w:ascii="Times New Roman" w:eastAsia="Times New Roman" w:hAnsi="Times New Roman" w:cs="Times New Roman"/>
          <w:color w:val="212529"/>
          <w:sz w:val="28"/>
          <w:szCs w:val="28"/>
          <w:lang w:eastAsia="tr-TR"/>
        </w:rPr>
        <w:t xml:space="preserve"> (1869-1940)</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Behzat Haki </w:t>
      </w:r>
      <w:proofErr w:type="spellStart"/>
      <w:r w:rsidRPr="00D36DDC">
        <w:rPr>
          <w:rFonts w:ascii="Times New Roman" w:eastAsia="Times New Roman" w:hAnsi="Times New Roman" w:cs="Times New Roman"/>
          <w:color w:val="212529"/>
          <w:sz w:val="28"/>
          <w:szCs w:val="28"/>
          <w:lang w:eastAsia="tr-TR"/>
        </w:rPr>
        <w:t>Butak</w:t>
      </w:r>
      <w:proofErr w:type="spellEnd"/>
      <w:r w:rsidRPr="00D36DDC">
        <w:rPr>
          <w:rFonts w:ascii="Times New Roman" w:eastAsia="Times New Roman" w:hAnsi="Times New Roman" w:cs="Times New Roman"/>
          <w:color w:val="212529"/>
          <w:sz w:val="28"/>
          <w:szCs w:val="28"/>
          <w:lang w:eastAsia="tr-TR"/>
        </w:rPr>
        <w:t xml:space="preserve"> </w:t>
      </w:r>
      <w:proofErr w:type="gramStart"/>
      <w:r w:rsidRPr="00D36DDC">
        <w:rPr>
          <w:rFonts w:ascii="Times New Roman" w:eastAsia="Times New Roman" w:hAnsi="Times New Roman" w:cs="Times New Roman"/>
          <w:color w:val="212529"/>
          <w:sz w:val="28"/>
          <w:szCs w:val="28"/>
          <w:lang w:eastAsia="tr-TR"/>
        </w:rPr>
        <w:t>(</w:t>
      </w:r>
      <w:proofErr w:type="gramEnd"/>
      <w:r w:rsidRPr="00D36DDC">
        <w:rPr>
          <w:rFonts w:ascii="Times New Roman" w:eastAsia="Times New Roman" w:hAnsi="Times New Roman" w:cs="Times New Roman"/>
          <w:color w:val="212529"/>
          <w:sz w:val="28"/>
          <w:szCs w:val="28"/>
          <w:lang w:eastAsia="tr-TR"/>
        </w:rPr>
        <w:t>1891-1963</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George </w:t>
      </w:r>
      <w:proofErr w:type="spellStart"/>
      <w:r w:rsidRPr="00D36DDC">
        <w:rPr>
          <w:rFonts w:ascii="Times New Roman" w:eastAsia="Times New Roman" w:hAnsi="Times New Roman" w:cs="Times New Roman"/>
          <w:color w:val="212529"/>
          <w:sz w:val="28"/>
          <w:szCs w:val="28"/>
          <w:lang w:eastAsia="tr-TR"/>
        </w:rPr>
        <w:t>Carpanter</w:t>
      </w:r>
      <w:proofErr w:type="spellEnd"/>
      <w:r w:rsidRPr="00D36DDC">
        <w:rPr>
          <w:rFonts w:ascii="Times New Roman" w:eastAsia="Times New Roman" w:hAnsi="Times New Roman" w:cs="Times New Roman"/>
          <w:color w:val="212529"/>
          <w:sz w:val="28"/>
          <w:szCs w:val="28"/>
          <w:lang w:eastAsia="tr-TR"/>
        </w:rPr>
        <w:t xml:space="preserve"> Miles (1904-1975)</w:t>
      </w:r>
    </w:p>
    <w:p w:rsidR="00D36DDC" w:rsidRPr="00D36DDC" w:rsidRDefault="00D36DDC" w:rsidP="00D36DDC">
      <w:pPr>
        <w:numPr>
          <w:ilvl w:val="0"/>
          <w:numId w:val="2"/>
        </w:numPr>
        <w:spacing w:before="100" w:beforeAutospacing="1"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Cüneyt Ölçer (1925-1990)</w:t>
      </w: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(para) bilimi, koleksiyonculukla koşut bir gelişim içindedir. Koleksiyon, sözcük kökeni olarak Fransızca </w:t>
      </w:r>
      <w:proofErr w:type="spellStart"/>
      <w:r w:rsidRPr="00D36DDC">
        <w:rPr>
          <w:rFonts w:ascii="Times New Roman" w:eastAsia="Times New Roman" w:hAnsi="Times New Roman" w:cs="Times New Roman"/>
          <w:i/>
          <w:iCs/>
          <w:color w:val="212529"/>
          <w:sz w:val="28"/>
          <w:szCs w:val="28"/>
          <w:lang w:eastAsia="tr-TR"/>
        </w:rPr>
        <w:t>collection</w:t>
      </w:r>
      <w:proofErr w:type="spellEnd"/>
      <w:r w:rsidRPr="00D36DDC">
        <w:rPr>
          <w:rFonts w:ascii="Times New Roman" w:eastAsia="Times New Roman" w:hAnsi="Times New Roman" w:cs="Times New Roman"/>
          <w:color w:val="212529"/>
          <w:sz w:val="28"/>
          <w:szCs w:val="28"/>
          <w:lang w:eastAsia="tr-TR"/>
        </w:rPr>
        <w:t xml:space="preserve"> sözcüğünden gelmedir ve </w:t>
      </w:r>
      <w:proofErr w:type="spellStart"/>
      <w:r w:rsidRPr="00D36DDC">
        <w:rPr>
          <w:rFonts w:ascii="Times New Roman" w:eastAsia="Times New Roman" w:hAnsi="Times New Roman" w:cs="Times New Roman"/>
          <w:color w:val="212529"/>
          <w:sz w:val="28"/>
          <w:szCs w:val="28"/>
          <w:lang w:eastAsia="tr-TR"/>
        </w:rPr>
        <w:t>Türkçe’de</w:t>
      </w:r>
      <w:proofErr w:type="spellEnd"/>
      <w:r w:rsidRPr="00D36DDC">
        <w:rPr>
          <w:rFonts w:ascii="Times New Roman" w:eastAsia="Times New Roman" w:hAnsi="Times New Roman" w:cs="Times New Roman"/>
          <w:color w:val="212529"/>
          <w:sz w:val="28"/>
          <w:szCs w:val="28"/>
          <w:lang w:eastAsia="tr-TR"/>
        </w:rPr>
        <w:t xml:space="preserve"> de </w:t>
      </w:r>
      <w:r w:rsidRPr="00D36DDC">
        <w:rPr>
          <w:rFonts w:ascii="Times New Roman" w:eastAsia="Times New Roman" w:hAnsi="Times New Roman" w:cs="Times New Roman"/>
          <w:i/>
          <w:iCs/>
          <w:color w:val="212529"/>
          <w:sz w:val="28"/>
          <w:szCs w:val="28"/>
          <w:lang w:eastAsia="tr-TR"/>
        </w:rPr>
        <w:t>koleksiyon</w:t>
      </w:r>
      <w:r w:rsidRPr="00D36DDC">
        <w:rPr>
          <w:rFonts w:ascii="Times New Roman" w:eastAsia="Times New Roman" w:hAnsi="Times New Roman" w:cs="Times New Roman"/>
          <w:color w:val="212529"/>
          <w:sz w:val="28"/>
          <w:szCs w:val="28"/>
          <w:lang w:eastAsia="tr-TR"/>
        </w:rPr>
        <w:t xml:space="preserve"> olarak kullanılmaktadır. Koleksiyon sözcük anlamı olarak; “öğrenme, yarar sağlama veya zevk amacıyla bir araya getirilmiş ve özelliklerine göre sınıflara ayrılmış nesnelerin bütünü, derlem”   anlamına gelmektedir. Cumhuriyet dönemi madeni paralarının ve hatıra paralarının koleksiyonunu yapmak konusunda daraltıcı, sınırlayıcı veya yasaklayıcı herhangi bir yasal düzenleme söz konusu değildir. Ancak, Cumhuriyet öncesi döneme ait sikkelerin koleksiyonu, devri ve satışı 2863 sayılı Kültür ve Tabiat Varlıklarını Koruma Kanunu’na tabidir.  Anılan Yasanın 23’üncü maddesinin </w:t>
      </w:r>
      <w:r w:rsidRPr="00D36DDC">
        <w:rPr>
          <w:rFonts w:ascii="Times New Roman" w:eastAsia="Times New Roman" w:hAnsi="Times New Roman" w:cs="Times New Roman"/>
          <w:color w:val="212529"/>
          <w:sz w:val="28"/>
          <w:szCs w:val="28"/>
          <w:lang w:eastAsia="tr-TR"/>
        </w:rPr>
        <w:lastRenderedPageBreak/>
        <w:t xml:space="preserve">birinci fıkrasının (a) bendinin 4’üncü fıkrası uyarınca; Osmanlı Padişahlarından Abdülmecit, Abdülaziz, V. Murat, II. Abdülhamit, V. Mehmet Reşat ve </w:t>
      </w:r>
      <w:proofErr w:type="spellStart"/>
      <w:r w:rsidRPr="00D36DDC">
        <w:rPr>
          <w:rFonts w:ascii="Times New Roman" w:eastAsia="Times New Roman" w:hAnsi="Times New Roman" w:cs="Times New Roman"/>
          <w:color w:val="212529"/>
          <w:sz w:val="28"/>
          <w:szCs w:val="28"/>
          <w:lang w:eastAsia="tr-TR"/>
        </w:rPr>
        <w:t>Vahidettin’e</w:t>
      </w:r>
      <w:proofErr w:type="spellEnd"/>
      <w:r w:rsidRPr="00D36DDC">
        <w:rPr>
          <w:rFonts w:ascii="Times New Roman" w:eastAsia="Times New Roman" w:hAnsi="Times New Roman" w:cs="Times New Roman"/>
          <w:color w:val="212529"/>
          <w:sz w:val="28"/>
          <w:szCs w:val="28"/>
          <w:lang w:eastAsia="tr-TR"/>
        </w:rPr>
        <w:t xml:space="preserve"> ait aynı çağdaki sikkeler, bu Yasaya göre </w:t>
      </w:r>
      <w:r w:rsidRPr="00D36DDC">
        <w:rPr>
          <w:rFonts w:ascii="Times New Roman" w:eastAsia="Times New Roman" w:hAnsi="Times New Roman" w:cs="Times New Roman"/>
          <w:i/>
          <w:iCs/>
          <w:color w:val="212529"/>
          <w:sz w:val="28"/>
          <w:szCs w:val="28"/>
          <w:lang w:eastAsia="tr-TR"/>
        </w:rPr>
        <w:t>tescile </w:t>
      </w:r>
      <w:r w:rsidRPr="00D36DDC">
        <w:rPr>
          <w:rFonts w:ascii="Times New Roman" w:eastAsia="Times New Roman" w:hAnsi="Times New Roman" w:cs="Times New Roman"/>
          <w:color w:val="212529"/>
          <w:sz w:val="28"/>
          <w:szCs w:val="28"/>
          <w:lang w:eastAsia="tr-TR"/>
        </w:rPr>
        <w:t>tabi olmaksızın yurtiçinde alınıp satılabilirler. Yasanın bu hükmünden de açık olarak görüldüğü üzere, bu padişahlar dışındaki dönemlere ait sikkelerin anılan Yasanın 7’inci maddesine göre </w:t>
      </w:r>
      <w:r w:rsidRPr="00D36DDC">
        <w:rPr>
          <w:rFonts w:ascii="Times New Roman" w:eastAsia="Times New Roman" w:hAnsi="Times New Roman" w:cs="Times New Roman"/>
          <w:i/>
          <w:iCs/>
          <w:color w:val="212529"/>
          <w:sz w:val="28"/>
          <w:szCs w:val="28"/>
          <w:lang w:eastAsia="tr-TR"/>
        </w:rPr>
        <w:t>tescil </w:t>
      </w:r>
      <w:r w:rsidRPr="00D36DDC">
        <w:rPr>
          <w:rFonts w:ascii="Times New Roman" w:eastAsia="Times New Roman" w:hAnsi="Times New Roman" w:cs="Times New Roman"/>
          <w:color w:val="212529"/>
          <w:sz w:val="28"/>
          <w:szCs w:val="28"/>
          <w:lang w:eastAsia="tr-TR"/>
        </w:rPr>
        <w:t>işlemine tabi tutulmaksızın yurtiçinde alınıp satılması yasaktır. Bir başka deyişle, para koleksiyonculuğu ile uğraşanların, 2863 sayılı Yasayı ve bu Yasa kapsamında çıkarılmış yönetmelikleri çok iyi bilmeleri ve bunlara uygun olarak koleksiyonlarını yapmaları gerekir. Ancak, daha önce de belirtildiği üzere, Cumhuriyet dönemi madeni paraları ve hatıra paraları için şu anda 2863 sayılı Yasa kapsamında herhangi bir tescil işlemi veya sınırla</w:t>
      </w:r>
      <w:r>
        <w:rPr>
          <w:rFonts w:ascii="Times New Roman" w:eastAsia="Times New Roman" w:hAnsi="Times New Roman" w:cs="Times New Roman"/>
          <w:color w:val="212529"/>
          <w:sz w:val="28"/>
          <w:szCs w:val="28"/>
          <w:lang w:eastAsia="tr-TR"/>
        </w:rPr>
        <w:t>yıcı hüküm söz konusu değildir.</w:t>
      </w: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Para koleksiyonculuğu, dünyanın özellikle çok gelişmiş ülkelerinde (ABD, Kanada, İngiltere gibi) oldukça yaygındır. Anılan ülkelerdeki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derneklerine veya örgütlerine çok sayıda insan üyedir. Ciddi anlamda para koleksiyonculuğu, derin bir kültürel altyapıyı, yoğun araştırma yapmayı,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biliminin ortaya çıkardığı gerçekleri yakından izlemeyi, arkeolojik alanda yürütülen çalışmalarla yakından ilgilenmeyi zorunlu kılan bir uğraştır. Para koleksiyonculuğu, sadece ekonominin kıtlık (</w:t>
      </w:r>
      <w:proofErr w:type="spellStart"/>
      <w:r w:rsidRPr="00D36DDC">
        <w:rPr>
          <w:rFonts w:ascii="Times New Roman" w:eastAsia="Times New Roman" w:hAnsi="Times New Roman" w:cs="Times New Roman"/>
          <w:color w:val="212529"/>
          <w:sz w:val="28"/>
          <w:szCs w:val="28"/>
          <w:lang w:eastAsia="tr-TR"/>
        </w:rPr>
        <w:t>nedretlik</w:t>
      </w:r>
      <w:proofErr w:type="spellEnd"/>
      <w:r w:rsidRPr="00D36DDC">
        <w:rPr>
          <w:rFonts w:ascii="Times New Roman" w:eastAsia="Times New Roman" w:hAnsi="Times New Roman" w:cs="Times New Roman"/>
          <w:color w:val="212529"/>
          <w:sz w:val="28"/>
          <w:szCs w:val="28"/>
          <w:lang w:eastAsia="tr-TR"/>
        </w:rPr>
        <w:t>) kuralından yola çıkılarak salt bir servet biriktirme olgusu olarak yürütülemez. Bu uğraş; insanın çok yönlü olarak kendisine yatırım yapmasını ve kendisini geliştirmesini zorunlu kılan özel nitelikli bir uğraşt</w:t>
      </w:r>
      <w:r>
        <w:rPr>
          <w:rFonts w:ascii="Times New Roman" w:eastAsia="Times New Roman" w:hAnsi="Times New Roman" w:cs="Times New Roman"/>
          <w:color w:val="212529"/>
          <w:sz w:val="28"/>
          <w:szCs w:val="28"/>
          <w:lang w:eastAsia="tr-TR"/>
        </w:rPr>
        <w:t>ır.</w:t>
      </w:r>
    </w:p>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Türkiye’de ise para koleksiyonculuğu gelişmekte olan bir uğraştır. Henüz yeteri düzeyde yaygınlık kazanmamıştır. Şu an için gelişmiş ülkelerle karşılaştırılmayacak ölçüde çok az sayıda insan tarafından para ve hatıra para toplanmaktadır. Güncel hatıra para koleksiyonculuğu Darphane ve Damga Matbaası Genel Müdürlüğü önderliğinde sürdürülmektedir. Hatıra para koleksiyonu yapmak isteyenler Darphane ve Damga Matbaası Genel Müdürlüğü Koleksiyon Servisine üye olmaktadırlar. Buraya üye olanlar; çıkan hatıra paralardan öncelikli olarak ve sürekli biçimde haberdar edilirler. Ayrıca, kontenjanlı olarak sınırlı sayıda üretilen hatıra paraları ve hatıra paralı Darphane ürünlerini sadece üyelerin alması olanaklıdır.</w:t>
      </w:r>
    </w:p>
    <w:p w:rsidR="00D36DDC" w:rsidRPr="00D36DDC" w:rsidRDefault="00D36DDC" w:rsidP="00D36DDC">
      <w:pPr>
        <w:pStyle w:val="ListeParagraf"/>
        <w:numPr>
          <w:ilvl w:val="0"/>
          <w:numId w:val="3"/>
        </w:num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b/>
          <w:bCs/>
          <w:color w:val="212529"/>
          <w:sz w:val="28"/>
          <w:szCs w:val="28"/>
          <w:lang w:eastAsia="tr-TR"/>
        </w:rPr>
        <w:t>Cumhuriyet Dönemi ve Hatıra Para</w:t>
      </w:r>
    </w:p>
    <w:p w:rsidR="00D36DDC" w:rsidRPr="00D36DDC" w:rsidRDefault="00D36DDC" w:rsidP="00D36DDC">
      <w:pPr>
        <w:pStyle w:val="ListeParagraf"/>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Kurtuluş Savaşı’nın kazanılmasından sonra kurulan Türkiye Cumhuriyeti, madeni ilk paralarını 1924 yılında basmıştır. Tedavüle çıkarılan ilk madeni paralar; 100 Para, 5 Kuruş, 10 Kuruş olmak üzere üç paradan oluşuyordu. Bu seriye 1925 yılında 25 Kuruş eklenmiştir. 100 kuruş ve 1 Lira 1934 yılında tedavüle sürülmüştür. 1 Kuruş ve 50 Kuruş ise, 1935 yılında tedavüle çıkarılmıştır. Cumhuriyet döneminin en küçük madeni parası olma özelliğini taşıyan 10 Para  ise ilk kez 1940 yılında basılmıştır. </w:t>
      </w:r>
      <w:r w:rsidRPr="00D36DDC">
        <w:rPr>
          <w:rFonts w:ascii="Times New Roman" w:eastAsia="Times New Roman" w:hAnsi="Times New Roman" w:cs="Times New Roman"/>
          <w:color w:val="212529"/>
          <w:sz w:val="28"/>
          <w:szCs w:val="28"/>
          <w:lang w:eastAsia="tr-TR"/>
        </w:rPr>
        <w:lastRenderedPageBreak/>
        <w:t xml:space="preserve">Bu en küçük </w:t>
      </w:r>
      <w:proofErr w:type="spellStart"/>
      <w:r w:rsidRPr="00D36DDC">
        <w:rPr>
          <w:rFonts w:ascii="Times New Roman" w:eastAsia="Times New Roman" w:hAnsi="Times New Roman" w:cs="Times New Roman"/>
          <w:color w:val="212529"/>
          <w:sz w:val="28"/>
          <w:szCs w:val="28"/>
          <w:lang w:eastAsia="tr-TR"/>
        </w:rPr>
        <w:t>küpürlü</w:t>
      </w:r>
      <w:proofErr w:type="spellEnd"/>
      <w:r w:rsidRPr="00D36DDC">
        <w:rPr>
          <w:rFonts w:ascii="Times New Roman" w:eastAsia="Times New Roman" w:hAnsi="Times New Roman" w:cs="Times New Roman"/>
          <w:color w:val="212529"/>
          <w:sz w:val="28"/>
          <w:szCs w:val="28"/>
          <w:lang w:eastAsia="tr-TR"/>
        </w:rPr>
        <w:t xml:space="preserve"> madeni para, 1941 ve 1942 yıllarında da basılmıştır. Madeni para serisine 1960 yılında 2 ½ Lira katılmıştır. </w:t>
      </w:r>
      <w:proofErr w:type="gramStart"/>
      <w:r w:rsidRPr="00D36DDC">
        <w:rPr>
          <w:rFonts w:ascii="Times New Roman" w:eastAsia="Times New Roman" w:hAnsi="Times New Roman" w:cs="Times New Roman"/>
          <w:color w:val="212529"/>
          <w:sz w:val="28"/>
          <w:szCs w:val="28"/>
          <w:lang w:eastAsia="tr-TR"/>
        </w:rPr>
        <w:t>Madeni 5 Lira 1974 yılında, 10 Lira 1981 yılında, 20 Lira 1984 yılında, 25 Lira 1985 yılında, 50 Lira 1984 yılında, 100 Lira 1984 yılında 500 Lira 1989 yılında, 1000 Lira 1990 yılında, 2500 Lira 1991 yılında, 5000 Lira 1992 yılında, 10.000 Lira 1994, 25.000 Lira 1995 yılında, 50.000 Lira 1996 yılında, 100.000 Lira 1999 yılında, 250.000 lira 2002 yılında tedavüle çıkarılmıştır.</w:t>
      </w:r>
      <w:proofErr w:type="gramEnd"/>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Cumhuriyetin kuruluşundan 1970 yılına kadar hatıra para olarak herhangi bir para çık</w:t>
      </w:r>
      <w:r>
        <w:rPr>
          <w:rFonts w:ascii="Times New Roman" w:eastAsia="Times New Roman" w:hAnsi="Times New Roman" w:cs="Times New Roman"/>
          <w:color w:val="212529"/>
          <w:sz w:val="28"/>
          <w:szCs w:val="28"/>
          <w:lang w:eastAsia="tr-TR"/>
        </w:rPr>
        <w:t>arılması söz konusu olmamıştır.</w:t>
      </w: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1264 sayılı Madeni Ufaklık ve Hatıra Para Bastırılması Hakkında Kanun, 28.05.1970 tarihinde TBMM’de kabul edilmiş ve 06.06.1970 tarih ve 13512 sayılı Resmi </w:t>
      </w:r>
      <w:proofErr w:type="spellStart"/>
      <w:r w:rsidRPr="00D36DDC">
        <w:rPr>
          <w:rFonts w:ascii="Times New Roman" w:eastAsia="Times New Roman" w:hAnsi="Times New Roman" w:cs="Times New Roman"/>
          <w:color w:val="212529"/>
          <w:sz w:val="28"/>
          <w:szCs w:val="28"/>
          <w:lang w:eastAsia="tr-TR"/>
        </w:rPr>
        <w:t>Gazete’de</w:t>
      </w:r>
      <w:proofErr w:type="spellEnd"/>
      <w:r w:rsidRPr="00D36DDC">
        <w:rPr>
          <w:rFonts w:ascii="Times New Roman" w:eastAsia="Times New Roman" w:hAnsi="Times New Roman" w:cs="Times New Roman"/>
          <w:color w:val="212529"/>
          <w:sz w:val="28"/>
          <w:szCs w:val="28"/>
          <w:lang w:eastAsia="tr-TR"/>
        </w:rPr>
        <w:t xml:space="preserve"> yayımlanarak yürürlüğe girmiştir.</w:t>
      </w:r>
      <w:r w:rsidRPr="00D36DDC">
        <w:rPr>
          <w:rFonts w:ascii="Times New Roman" w:eastAsia="Times New Roman" w:hAnsi="Times New Roman" w:cs="Times New Roman"/>
          <w:color w:val="212529"/>
          <w:sz w:val="28"/>
          <w:szCs w:val="28"/>
          <w:lang w:eastAsia="tr-TR"/>
        </w:rPr>
        <w:br/>
        <w:t>Söz konusu Yasanın 1’inci maddesi uyarınca; Başbakanlık Hazine Müsteşarlığı memleket ekonomisinin gelişimine paralel olarak tedavüle gereği kadar madeni para çıkartmaya yetkilidir. Milli ve milletlerarası önemli tarihi, bilimsel, kültürel ve sanat olayları ile anmaya değer diğer olay ve günleri belirtmek ve muhtelif alanlarda ün yapmış Türk büyüklerini anmak amacıyla ve Hükümetçe lüzum ve faydası takdir edilecek diğer sebep ve vesileler dolayısıyla madeni hatıra para da çıkartılabilir.</w:t>
      </w:r>
      <w:r w:rsidRPr="00D36DDC">
        <w:rPr>
          <w:rFonts w:ascii="Times New Roman" w:eastAsia="Times New Roman" w:hAnsi="Times New Roman" w:cs="Times New Roman"/>
          <w:color w:val="212529"/>
          <w:sz w:val="28"/>
          <w:szCs w:val="28"/>
          <w:lang w:eastAsia="tr-TR"/>
        </w:rPr>
        <w:br/>
        <w:t xml:space="preserve">Darphane ve Damga Matbaası Genel Müdürlüğü,  Maliye Bakanlığı’nın ana hizmet birimlerinden birisi olarak 2996 sayılı Maliye </w:t>
      </w:r>
      <w:proofErr w:type="gramStart"/>
      <w:r w:rsidRPr="00D36DDC">
        <w:rPr>
          <w:rFonts w:ascii="Times New Roman" w:eastAsia="Times New Roman" w:hAnsi="Times New Roman" w:cs="Times New Roman"/>
          <w:color w:val="212529"/>
          <w:sz w:val="28"/>
          <w:szCs w:val="28"/>
          <w:lang w:eastAsia="tr-TR"/>
        </w:rPr>
        <w:t>Vekaleti</w:t>
      </w:r>
      <w:proofErr w:type="gramEnd"/>
      <w:r w:rsidRPr="00D36DDC">
        <w:rPr>
          <w:rFonts w:ascii="Times New Roman" w:eastAsia="Times New Roman" w:hAnsi="Times New Roman" w:cs="Times New Roman"/>
          <w:color w:val="212529"/>
          <w:sz w:val="28"/>
          <w:szCs w:val="28"/>
          <w:lang w:eastAsia="tr-TR"/>
        </w:rPr>
        <w:t xml:space="preserve"> Teşkilat ve Vazifeleri Hakkında Kanun  çerçevesinde görevlerini yürütmekteydi. Hazine birimlerinin 1983 yılında Maliye Bakanlığı bünyesinden ayrılarak Başbakanlığa bağlı Hazine ve Dış Ticaret Müsteşarlığı haline getirilmesiyle birlikte Darphane ve Damga Matbaası Genel Müdürlüğü de anılan Müsteşarlığa bağlanmıştır. Bunun üzerine çıkarılmış olan 234 sayılı Darphane ve Damga Matbaası Genel Müdürlüğünün Kuruluş ve Görevleri Hakkında Kanun Hükmünde Kararname  (KHK) çıkarılmıştır. Söz konusu KHK’nin “Görev” başlıklı 2’inci maddesinin birinci fıkrasının (a) bendi uyarınca, ilgili yasalar gereğince Hazine Müsteşarlığı’nca tedavüle çıkarılması kararlaştırılan madeni ufaklık para ve madeni hatıra paraları basmak ve dağıtmak görevi Darphane ve Damga Matbaası </w:t>
      </w:r>
      <w:r>
        <w:rPr>
          <w:rFonts w:ascii="Times New Roman" w:eastAsia="Times New Roman" w:hAnsi="Times New Roman" w:cs="Times New Roman"/>
          <w:color w:val="212529"/>
          <w:sz w:val="28"/>
          <w:szCs w:val="28"/>
          <w:lang w:eastAsia="tr-TR"/>
        </w:rPr>
        <w:t>Genel Müdürlüğü’ne verilmiştir.</w:t>
      </w: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Hatıra para çıkarılması, 1264 sayılı Yasanın birinci maddesinin ikinci fıkrası hükmü ile hukuki çerçevesine kavuşmuştur. Bu hukuki ve yasal çerçevenin oluşmasından sonra Darphane ve Damga Matbaası Genel Müdürlüğü, ilk hatıra para olarak Türkiye Büyük Millet Meclisi 50. Yılı anısına aşağıda özellikleri gösterilen parayı çıkarmıştır. Bu para Türkiye Cumhuriyeti Devleti’nin ilk hatıra parası olma özelliğini taşıdığı için önemlidir.</w:t>
      </w:r>
    </w:p>
    <w:p w:rsidR="004F1815" w:rsidRPr="00D36DDC" w:rsidRDefault="004F1815" w:rsidP="00D36DDC">
      <w:pPr>
        <w:spacing w:after="100" w:afterAutospacing="1" w:line="240" w:lineRule="auto"/>
        <w:jc w:val="both"/>
        <w:rPr>
          <w:rFonts w:ascii="Times New Roman" w:eastAsia="Times New Roman" w:hAnsi="Times New Roman" w:cs="Times New Roman"/>
          <w:color w:val="212529"/>
          <w:sz w:val="28"/>
          <w:szCs w:val="28"/>
          <w:lang w:eastAsia="tr-TR"/>
        </w:rPr>
      </w:pPr>
      <w:r>
        <w:rPr>
          <w:rFonts w:ascii="Times New Roman" w:eastAsia="Times New Roman" w:hAnsi="Times New Roman" w:cs="Times New Roman"/>
          <w:noProof/>
          <w:color w:val="212529"/>
          <w:sz w:val="28"/>
          <w:szCs w:val="28"/>
          <w:lang w:eastAsia="tr-TR"/>
        </w:rPr>
        <w:lastRenderedPageBreak/>
        <w:drawing>
          <wp:inline distT="0" distB="0" distL="0" distR="0" wp14:anchorId="205B5699">
            <wp:extent cx="5076825" cy="22002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2200275"/>
                    </a:xfrm>
                    <a:prstGeom prst="rect">
                      <a:avLst/>
                    </a:prstGeom>
                    <a:noFill/>
                  </pic:spPr>
                </pic:pic>
              </a:graphicData>
            </a:graphic>
          </wp:inline>
        </w:drawing>
      </w:r>
    </w:p>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2422"/>
        <w:gridCol w:w="2257"/>
        <w:gridCol w:w="2257"/>
        <w:gridCol w:w="2166"/>
      </w:tblGrid>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Nominal Değeri</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25 Lira</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Satış Fiyatı</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25 Türk Lirası</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Madeni</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830</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Azami Baskı</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100.000</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Çapı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32.00 mm</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Yurtiçi</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100.000</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Ağırlığı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15.00 gr</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Yurtdışı</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Baskısı Yok</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Kalınlığı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2.35 mm</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Satılan Adet</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23.420</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Baskı Özelliği</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Normal</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Yurtiçi Satışı</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23.420</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Kenar Özelliği</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Tırtıllı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Yurtdışı Satışı</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Yok</w:t>
            </w: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Sanatçı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Avni KUMUK</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Tedavül Süresi</w:t>
            </w: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p>
        </w:tc>
      </w:tr>
      <w:tr w:rsidR="00D36DDC" w:rsidRPr="00D36DDC" w:rsidTr="00D36DDC">
        <w:trPr>
          <w:jc w:val="center"/>
        </w:trPr>
        <w:tc>
          <w:tcPr>
            <w:tcW w:w="133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Sanatçı İmzası</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Var</w:t>
            </w:r>
          </w:p>
        </w:tc>
        <w:tc>
          <w:tcPr>
            <w:tcW w:w="124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p>
        </w:tc>
        <w:tc>
          <w:tcPr>
            <w:tcW w:w="1190"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p>
        </w:tc>
      </w:tr>
    </w:tbl>
    <w:p w:rsidR="005F690D" w:rsidRDefault="005F690D" w:rsidP="00D36DDC">
      <w:pPr>
        <w:spacing w:after="100" w:afterAutospacing="1" w:line="240" w:lineRule="auto"/>
        <w:jc w:val="both"/>
        <w:rPr>
          <w:rFonts w:ascii="Times New Roman" w:eastAsia="Times New Roman" w:hAnsi="Times New Roman" w:cs="Times New Roman"/>
          <w:color w:val="212529"/>
          <w:sz w:val="28"/>
          <w:szCs w:val="28"/>
          <w:lang w:eastAsia="tr-TR"/>
        </w:rPr>
      </w:pP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Darphane ve Damga Matbaası Genel Müdürlüğü, genç kuşaklara eski paraların tanıtılması ve o dönem tarihinin anımsatılması amacıyla Cumhuriyet Dönemi tedavül madeni paralarını orijinal kalıplarını kullanarak kıymetli madenden (altın ve gümüş) yeniden basmaya ve </w:t>
      </w:r>
      <w:proofErr w:type="spellStart"/>
      <w:r w:rsidRPr="00D36DDC">
        <w:rPr>
          <w:rFonts w:ascii="Times New Roman" w:eastAsia="Times New Roman" w:hAnsi="Times New Roman" w:cs="Times New Roman"/>
          <w:b/>
          <w:bCs/>
          <w:i/>
          <w:iCs/>
          <w:color w:val="212529"/>
          <w:sz w:val="28"/>
          <w:szCs w:val="28"/>
          <w:lang w:eastAsia="tr-TR"/>
        </w:rPr>
        <w:t>Nostalji</w:t>
      </w:r>
      <w:r w:rsidRPr="00D36DDC">
        <w:rPr>
          <w:rFonts w:ascii="Times New Roman" w:eastAsia="Times New Roman" w:hAnsi="Times New Roman" w:cs="Times New Roman"/>
          <w:color w:val="212529"/>
          <w:sz w:val="28"/>
          <w:szCs w:val="28"/>
          <w:lang w:eastAsia="tr-TR"/>
        </w:rPr>
        <w:t>adı</w:t>
      </w:r>
      <w:proofErr w:type="spellEnd"/>
      <w:r w:rsidRPr="00D36DDC">
        <w:rPr>
          <w:rFonts w:ascii="Times New Roman" w:eastAsia="Times New Roman" w:hAnsi="Times New Roman" w:cs="Times New Roman"/>
          <w:color w:val="212529"/>
          <w:sz w:val="28"/>
          <w:szCs w:val="28"/>
          <w:lang w:eastAsia="tr-TR"/>
        </w:rPr>
        <w:t xml:space="preserve"> altında hatıra para seti olarak satmaya başlamıştır. Bu kapsamda ilki 2000 yılında 7’li set halinde; 100 Kuruş (1934) gümüş, ½ Kuruş (1948) altın, 1 Kuruş (1949) altın, 2 ½ Kuruş (1950) altın, 25 Kuruş (1951) altın, 2 ½ Lira (1965) gümüş, 5 Lira (1975) gümüş olarak piyasaya sunulmuştur. Bu seriyi, 2002 yılında tamamı gümüş olarak ve yine orijinal kalıplar kullanılarak basılan 1935 yılının 5 madeni parasından oluşan </w:t>
      </w:r>
      <w:r w:rsidRPr="00D36DDC">
        <w:rPr>
          <w:rFonts w:ascii="Times New Roman" w:eastAsia="Times New Roman" w:hAnsi="Times New Roman" w:cs="Times New Roman"/>
          <w:b/>
          <w:bCs/>
          <w:i/>
          <w:iCs/>
          <w:color w:val="212529"/>
          <w:sz w:val="28"/>
          <w:szCs w:val="28"/>
          <w:lang w:eastAsia="tr-TR"/>
        </w:rPr>
        <w:t xml:space="preserve">1935 Yılı Nostalji </w:t>
      </w:r>
      <w:proofErr w:type="spellStart"/>
      <w:r w:rsidRPr="00D36DDC">
        <w:rPr>
          <w:rFonts w:ascii="Times New Roman" w:eastAsia="Times New Roman" w:hAnsi="Times New Roman" w:cs="Times New Roman"/>
          <w:b/>
          <w:bCs/>
          <w:i/>
          <w:iCs/>
          <w:color w:val="212529"/>
          <w:sz w:val="28"/>
          <w:szCs w:val="28"/>
          <w:lang w:eastAsia="tr-TR"/>
        </w:rPr>
        <w:t>Seti</w:t>
      </w:r>
      <w:r w:rsidRPr="00D36DDC">
        <w:rPr>
          <w:rFonts w:ascii="Times New Roman" w:eastAsia="Times New Roman" w:hAnsi="Times New Roman" w:cs="Times New Roman"/>
          <w:color w:val="212529"/>
          <w:sz w:val="28"/>
          <w:szCs w:val="28"/>
          <w:lang w:eastAsia="tr-TR"/>
        </w:rPr>
        <w:t>izlemiştir</w:t>
      </w:r>
      <w:proofErr w:type="spellEnd"/>
      <w:r w:rsidRPr="00D36DDC">
        <w:rPr>
          <w:rFonts w:ascii="Times New Roman" w:eastAsia="Times New Roman" w:hAnsi="Times New Roman" w:cs="Times New Roman"/>
          <w:color w:val="212529"/>
          <w:sz w:val="28"/>
          <w:szCs w:val="28"/>
          <w:lang w:eastAsia="tr-TR"/>
        </w:rPr>
        <w:t xml:space="preserve">. Nostalji setlerinin üçüncüsü Cumhuriyetin 80’inci yılının kutlanacağı 2003 yılında çıkarılacak ve bu sette 1936-1950 arasında tedavül etmiş 13 adet madeni para yer alacaktır. Söz konusu paralar, önceki </w:t>
      </w:r>
      <w:proofErr w:type="gramStart"/>
      <w:r w:rsidRPr="00D36DDC">
        <w:rPr>
          <w:rFonts w:ascii="Times New Roman" w:eastAsia="Times New Roman" w:hAnsi="Times New Roman" w:cs="Times New Roman"/>
          <w:color w:val="212529"/>
          <w:sz w:val="28"/>
          <w:szCs w:val="28"/>
          <w:lang w:eastAsia="tr-TR"/>
        </w:rPr>
        <w:t>nostalji</w:t>
      </w:r>
      <w:proofErr w:type="gramEnd"/>
      <w:r w:rsidRPr="00D36DDC">
        <w:rPr>
          <w:rFonts w:ascii="Times New Roman" w:eastAsia="Times New Roman" w:hAnsi="Times New Roman" w:cs="Times New Roman"/>
          <w:color w:val="212529"/>
          <w:sz w:val="28"/>
          <w:szCs w:val="28"/>
          <w:lang w:eastAsia="tr-TR"/>
        </w:rPr>
        <w:t xml:space="preserve"> setlerinde olduğu gibi yine orijinal kalıpları kullanılarak ve 925 ayar gümüşten basıla</w:t>
      </w:r>
      <w:r>
        <w:rPr>
          <w:rFonts w:ascii="Times New Roman" w:eastAsia="Times New Roman" w:hAnsi="Times New Roman" w:cs="Times New Roman"/>
          <w:color w:val="212529"/>
          <w:sz w:val="28"/>
          <w:szCs w:val="28"/>
          <w:lang w:eastAsia="tr-TR"/>
        </w:rPr>
        <w:t>caktır.</w:t>
      </w:r>
    </w:p>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Darphane ve Damga Matbaası Genel Müdürlüğü, 1264 sayılı Yasanın çıktığı 1970 yılından bu yana Cumhuriyet’in kuruluş yıldönümlerini değişik ve çok özel nitelikli hatıra paralarla anmış ve tarihe iz düşmüştür. 1970 yılından itibaren Cumhuriyet’in kuruluş yıldönümü kutlamaları anısına çıkarılmış olan hatıra paralar şöyledir:</w:t>
      </w:r>
    </w:p>
    <w:tbl>
      <w:tblPr>
        <w:tblW w:w="5000" w:type="pct"/>
        <w:jc w:val="center"/>
        <w:tblCellMar>
          <w:top w:w="15" w:type="dxa"/>
          <w:left w:w="15" w:type="dxa"/>
          <w:bottom w:w="15" w:type="dxa"/>
          <w:right w:w="15" w:type="dxa"/>
        </w:tblCellMar>
        <w:tblLook w:val="04A0" w:firstRow="1" w:lastRow="0" w:firstColumn="1" w:lastColumn="0" w:noHBand="0" w:noVBand="1"/>
      </w:tblPr>
      <w:tblGrid>
        <w:gridCol w:w="553"/>
        <w:gridCol w:w="2742"/>
        <w:gridCol w:w="3100"/>
        <w:gridCol w:w="1373"/>
        <w:gridCol w:w="1334"/>
      </w:tblGrid>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lastRenderedPageBreak/>
              <w:t>Yıl</w:t>
            </w:r>
          </w:p>
        </w:tc>
        <w:tc>
          <w:tcPr>
            <w:tcW w:w="1506"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Konu</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Değer</w:t>
            </w:r>
          </w:p>
        </w:tc>
        <w:tc>
          <w:tcPr>
            <w:tcW w:w="75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Maden</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Baskı Adedi</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1973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50.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50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900</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68.730</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1973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50.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900</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64.885</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1973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50.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500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Altın 22×6</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14732</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1973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50.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500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Altın 22×6</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14.732</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1983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60.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1.544</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70.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50.000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Altın 22×</w:t>
            </w:r>
            <w:proofErr w:type="gramStart"/>
            <w:r w:rsidRPr="00D36DDC">
              <w:rPr>
                <w:rFonts w:ascii="Times New Roman" w:eastAsia="Times New Roman" w:hAnsi="Times New Roman" w:cs="Times New Roman"/>
                <w:color w:val="212529"/>
                <w:sz w:val="20"/>
                <w:szCs w:val="20"/>
                <w:lang w:eastAsia="tr-TR"/>
              </w:rPr>
              <w:t>7.2</w:t>
            </w:r>
            <w:proofErr w:type="gramEnd"/>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950</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ve Lozan</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2.640</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ve Gençlik</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4.492</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2000</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1.810</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ve Kadın</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2.646</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ve Çocuk</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1.989</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 ve Devrimler</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3.000.000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1.801</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1998</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75.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25.000.000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Altın 22×</w:t>
            </w:r>
            <w:proofErr w:type="gramStart"/>
            <w:r w:rsidRPr="00D36DDC">
              <w:rPr>
                <w:rFonts w:ascii="Times New Roman" w:eastAsia="Times New Roman" w:hAnsi="Times New Roman" w:cs="Times New Roman"/>
                <w:color w:val="212529"/>
                <w:sz w:val="20"/>
                <w:szCs w:val="20"/>
                <w:lang w:eastAsia="tr-TR"/>
              </w:rPr>
              <w:t>7.2</w:t>
            </w:r>
            <w:proofErr w:type="gramEnd"/>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1.752</w:t>
            </w:r>
          </w:p>
        </w:tc>
      </w:tr>
      <w:tr w:rsidR="00D36DDC" w:rsidRPr="00D36DDC" w:rsidTr="00D36DDC">
        <w:trPr>
          <w:jc w:val="center"/>
        </w:trPr>
        <w:tc>
          <w:tcPr>
            <w:tcW w:w="304"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2003</w:t>
            </w:r>
          </w:p>
        </w:tc>
        <w:tc>
          <w:tcPr>
            <w:tcW w:w="1506"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Cumhuriyetin 80. Yılı</w:t>
            </w:r>
          </w:p>
        </w:tc>
        <w:tc>
          <w:tcPr>
            <w:tcW w:w="170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15.000.000 / 20.000.000 Lira</w:t>
            </w:r>
          </w:p>
        </w:tc>
        <w:tc>
          <w:tcPr>
            <w:tcW w:w="754" w:type="pct"/>
            <w:tcBorders>
              <w:top w:val="single" w:sz="2" w:space="0" w:color="auto"/>
              <w:left w:val="single" w:sz="6" w:space="0" w:color="auto"/>
              <w:bottom w:val="single" w:sz="2" w:space="0" w:color="auto"/>
              <w:right w:val="single" w:sz="6" w:space="0" w:color="auto"/>
            </w:tcBorders>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Gümüş 925</w:t>
            </w:r>
          </w:p>
        </w:tc>
        <w:tc>
          <w:tcPr>
            <w:tcW w:w="733" w:type="pct"/>
            <w:tcBorders>
              <w:top w:val="single" w:sz="2" w:space="0" w:color="auto"/>
              <w:left w:val="single" w:sz="6" w:space="0" w:color="auto"/>
              <w:bottom w:val="single" w:sz="2" w:space="0" w:color="auto"/>
              <w:right w:val="single" w:sz="6" w:space="0" w:color="auto"/>
            </w:tcBorders>
            <w:vAlign w:val="center"/>
            <w:hideMark/>
          </w:tcPr>
          <w:p w:rsidR="00D36DDC" w:rsidRPr="00D36DDC" w:rsidRDefault="00D36DDC" w:rsidP="00D36DDC">
            <w:pPr>
              <w:spacing w:after="0" w:line="240" w:lineRule="auto"/>
              <w:jc w:val="both"/>
              <w:rPr>
                <w:rFonts w:ascii="Times New Roman" w:eastAsia="Times New Roman" w:hAnsi="Times New Roman" w:cs="Times New Roman"/>
                <w:color w:val="212529"/>
                <w:sz w:val="20"/>
                <w:szCs w:val="20"/>
                <w:lang w:eastAsia="tr-TR"/>
              </w:rPr>
            </w:pPr>
            <w:r w:rsidRPr="00D36DDC">
              <w:rPr>
                <w:rFonts w:ascii="Times New Roman" w:eastAsia="Times New Roman" w:hAnsi="Times New Roman" w:cs="Times New Roman"/>
                <w:color w:val="212529"/>
                <w:sz w:val="20"/>
                <w:szCs w:val="20"/>
                <w:lang w:eastAsia="tr-TR"/>
              </w:rPr>
              <w:t>–</w:t>
            </w:r>
          </w:p>
        </w:tc>
      </w:tr>
    </w:tbl>
    <w:p w:rsidR="005F690D" w:rsidRDefault="005F690D" w:rsidP="00D36DDC">
      <w:pPr>
        <w:spacing w:after="100" w:afterAutospacing="1" w:line="240" w:lineRule="auto"/>
        <w:jc w:val="both"/>
        <w:outlineLvl w:val="5"/>
        <w:rPr>
          <w:rFonts w:ascii="Times New Roman" w:eastAsia="Times New Roman" w:hAnsi="Times New Roman" w:cs="Times New Roman"/>
          <w:b/>
          <w:bCs/>
          <w:color w:val="212529"/>
          <w:sz w:val="28"/>
          <w:szCs w:val="28"/>
          <w:lang w:eastAsia="tr-TR"/>
        </w:rPr>
      </w:pPr>
    </w:p>
    <w:p w:rsidR="00D36DDC" w:rsidRDefault="00D36DDC" w:rsidP="00D36DDC">
      <w:pPr>
        <w:spacing w:after="100" w:afterAutospacing="1" w:line="240" w:lineRule="auto"/>
        <w:jc w:val="both"/>
        <w:outlineLvl w:val="5"/>
        <w:rPr>
          <w:rFonts w:ascii="Times New Roman" w:eastAsia="Times New Roman" w:hAnsi="Times New Roman" w:cs="Times New Roman"/>
          <w:b/>
          <w:bCs/>
          <w:color w:val="212529"/>
          <w:sz w:val="28"/>
          <w:szCs w:val="28"/>
          <w:lang w:eastAsia="tr-TR"/>
        </w:rPr>
      </w:pPr>
      <w:r w:rsidRPr="00D36DDC">
        <w:rPr>
          <w:rFonts w:ascii="Times New Roman" w:eastAsia="Times New Roman" w:hAnsi="Times New Roman" w:cs="Times New Roman"/>
          <w:b/>
          <w:bCs/>
          <w:color w:val="212529"/>
          <w:sz w:val="28"/>
          <w:szCs w:val="28"/>
          <w:lang w:eastAsia="tr-TR"/>
        </w:rPr>
        <w:t>Cumhuriyetin 80. Yılı Hatıra Paraları (2003)</w:t>
      </w:r>
    </w:p>
    <w:p w:rsidR="005F690D" w:rsidRPr="00D36DDC" w:rsidRDefault="005F690D" w:rsidP="00D36DDC">
      <w:pPr>
        <w:spacing w:after="100" w:afterAutospacing="1" w:line="240" w:lineRule="auto"/>
        <w:jc w:val="both"/>
        <w:outlineLvl w:val="5"/>
        <w:rPr>
          <w:rFonts w:ascii="Times New Roman" w:eastAsia="Times New Roman" w:hAnsi="Times New Roman" w:cs="Times New Roman"/>
          <w:color w:val="212529"/>
          <w:sz w:val="28"/>
          <w:szCs w:val="28"/>
          <w:lang w:eastAsia="tr-TR"/>
        </w:rPr>
      </w:pPr>
      <w:r>
        <w:rPr>
          <w:rFonts w:ascii="Times New Roman" w:eastAsia="Times New Roman" w:hAnsi="Times New Roman" w:cs="Times New Roman"/>
          <w:noProof/>
          <w:color w:val="212529"/>
          <w:sz w:val="28"/>
          <w:szCs w:val="28"/>
          <w:lang w:eastAsia="tr-TR"/>
        </w:rPr>
        <w:drawing>
          <wp:inline distT="0" distB="0" distL="0" distR="0" wp14:anchorId="4C2636B5">
            <wp:extent cx="6372225" cy="21526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2152650"/>
                    </a:xfrm>
                    <a:prstGeom prst="rect">
                      <a:avLst/>
                    </a:prstGeom>
                    <a:noFill/>
                  </pic:spPr>
                </pic:pic>
              </a:graphicData>
            </a:graphic>
          </wp:inline>
        </w:drawing>
      </w:r>
    </w:p>
    <w:p w:rsid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b/>
          <w:bCs/>
          <w:color w:val="212529"/>
          <w:sz w:val="28"/>
          <w:szCs w:val="28"/>
          <w:lang w:eastAsia="tr-TR"/>
        </w:rPr>
        <w:t>5. Sonuç</w:t>
      </w:r>
    </w:p>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xml:space="preserve">Bir çağdaşlaşma ve yaşam biçimi olan Atatürk Devrimlerinin en önemlisi olan Cumhuriyet, her alanda Türk yurttaşlarını olumlu yönde etkilemiş ve geliştirmiştir. Bu kapsamda,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alanında da, bizzat ulu önder Atatürk’ün talimatlarıyla büyük hamleler yapan arkeoloji biliminin gelişimine koşut olarak büyük gelişmeler yaşanmaktadır. Arkeoloji ve </w:t>
      </w:r>
      <w:proofErr w:type="spellStart"/>
      <w:r w:rsidRPr="00D36DDC">
        <w:rPr>
          <w:rFonts w:ascii="Times New Roman" w:eastAsia="Times New Roman" w:hAnsi="Times New Roman" w:cs="Times New Roman"/>
          <w:color w:val="212529"/>
          <w:sz w:val="28"/>
          <w:szCs w:val="28"/>
          <w:lang w:eastAsia="tr-TR"/>
        </w:rPr>
        <w:t>nümismatik</w:t>
      </w:r>
      <w:proofErr w:type="spellEnd"/>
      <w:r w:rsidRPr="00D36DDC">
        <w:rPr>
          <w:rFonts w:ascii="Times New Roman" w:eastAsia="Times New Roman" w:hAnsi="Times New Roman" w:cs="Times New Roman"/>
          <w:color w:val="212529"/>
          <w:sz w:val="28"/>
          <w:szCs w:val="28"/>
          <w:lang w:eastAsia="tr-TR"/>
        </w:rPr>
        <w:t xml:space="preserve"> alanında yaşanan gelişmenin ülkemizdeki para koleksiyonculuğuna da olumlu etkilerinin olması beklenmektedir. Bu olumlu gelişmenin olabilmesi için, bu alanda önderlik yapan Darphane ve Damga Matbaası Genel Müdürlüğü büyük çaba göstermektedir. 1970 yılından itibaren başlayan hatıra para </w:t>
      </w:r>
      <w:proofErr w:type="gramStart"/>
      <w:r w:rsidRPr="00D36DDC">
        <w:rPr>
          <w:rFonts w:ascii="Times New Roman" w:eastAsia="Times New Roman" w:hAnsi="Times New Roman" w:cs="Times New Roman"/>
          <w:color w:val="212529"/>
          <w:sz w:val="28"/>
          <w:szCs w:val="28"/>
          <w:lang w:eastAsia="tr-TR"/>
        </w:rPr>
        <w:t>emisyonunun</w:t>
      </w:r>
      <w:proofErr w:type="gramEnd"/>
      <w:r w:rsidRPr="00D36DDC">
        <w:rPr>
          <w:rFonts w:ascii="Times New Roman" w:eastAsia="Times New Roman" w:hAnsi="Times New Roman" w:cs="Times New Roman"/>
          <w:color w:val="212529"/>
          <w:sz w:val="28"/>
          <w:szCs w:val="28"/>
          <w:lang w:eastAsia="tr-TR"/>
        </w:rPr>
        <w:t xml:space="preserve"> dünya standartlarında bir boyut ve nitelik kazanması için ileri teknoloji ürünü hatıra para üretim makinelerine ve sistemlerine sürekli yatırım yapmaktadır. Ayrıca, ülkemizdeki hatıra para koleksiyonculuğunun yaygınlaşması için gereken her </w:t>
      </w:r>
      <w:r w:rsidRPr="00D36DDC">
        <w:rPr>
          <w:rFonts w:ascii="Times New Roman" w:eastAsia="Times New Roman" w:hAnsi="Times New Roman" w:cs="Times New Roman"/>
          <w:color w:val="212529"/>
          <w:sz w:val="28"/>
          <w:szCs w:val="28"/>
          <w:lang w:eastAsia="tr-TR"/>
        </w:rPr>
        <w:lastRenderedPageBreak/>
        <w:t>türlü bilgilendirme ve yardım işlemini yapmakta; koleksiyon ürünlerinin daha çekici, daha nitelikli ve daha çeşitli hale gelmesi için sürekli çaba göstermektedir.</w:t>
      </w:r>
      <w:r w:rsidRPr="00D36DDC">
        <w:rPr>
          <w:rFonts w:ascii="Times New Roman" w:eastAsia="Times New Roman" w:hAnsi="Times New Roman" w:cs="Times New Roman"/>
          <w:color w:val="212529"/>
          <w:sz w:val="28"/>
          <w:szCs w:val="28"/>
          <w:lang w:eastAsia="tr-TR"/>
        </w:rPr>
        <w:br/>
        <w:t>Türkiye’de para koleksiyonculuğunun gelişmiş ülkeler düzeyine gelebilmesi için başta Milli Eğitim Bakanlığı olmak üzere, üniversitelere, yazılı, görsel ve işitsel iletişim organlarına, müzelere, bankacılık ve finans alanında etkinlik gösteren bütün kamu ve özel kesim kurum ve kuruluşlarına büyük görevler düşmektedir.</w:t>
      </w:r>
    </w:p>
    <w:p w:rsidR="00D36DDC" w:rsidRPr="00D36DDC" w:rsidRDefault="00D36DDC" w:rsidP="00D36DDC">
      <w:pPr>
        <w:spacing w:after="100" w:afterAutospacing="1" w:line="240" w:lineRule="auto"/>
        <w:jc w:val="both"/>
        <w:rPr>
          <w:rFonts w:ascii="Times New Roman" w:eastAsia="Times New Roman" w:hAnsi="Times New Roman" w:cs="Times New Roman"/>
          <w:color w:val="212529"/>
          <w:sz w:val="28"/>
          <w:szCs w:val="28"/>
          <w:lang w:eastAsia="tr-TR"/>
        </w:rPr>
      </w:pPr>
      <w:r w:rsidRPr="00D36DDC">
        <w:rPr>
          <w:rFonts w:ascii="Times New Roman" w:eastAsia="Times New Roman" w:hAnsi="Times New Roman" w:cs="Times New Roman"/>
          <w:color w:val="212529"/>
          <w:sz w:val="28"/>
          <w:szCs w:val="28"/>
          <w:lang w:eastAsia="tr-TR"/>
        </w:rPr>
        <w:t> </w:t>
      </w:r>
    </w:p>
    <w:p w:rsidR="000A545E" w:rsidRDefault="005F690D" w:rsidP="00D36DDC">
      <w:pPr>
        <w:jc w:val="both"/>
        <w:rPr>
          <w:rFonts w:ascii="Times New Roman" w:hAnsi="Times New Roman" w:cs="Times New Roman"/>
          <w:sz w:val="28"/>
          <w:szCs w:val="28"/>
        </w:rPr>
      </w:pPr>
      <w:r>
        <w:rPr>
          <w:noProof/>
          <w:lang w:eastAsia="tr-TR"/>
        </w:rPr>
        <mc:AlternateContent>
          <mc:Choice Requires="wps">
            <w:drawing>
              <wp:inline distT="0" distB="0" distL="0" distR="0" wp14:anchorId="2C7D9D7C" wp14:editId="25ED8F01">
                <wp:extent cx="304800" cy="304800"/>
                <wp:effectExtent l="0" t="0" r="0" b="0"/>
                <wp:docPr id="2" name="AutoShape 2" descr="https://ms.hmb.gov.tr/uploads/sites/7/2019/09/paran%C4%B1n_tarihi_4-185x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https://ms.hmb.gov.tr/uploads/sites/7/2019/09/paran%C4%B1n_tarihi_4-185x3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03YzW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Pr>
          <w:rFonts w:ascii="Times New Roman" w:hAnsi="Times New Roman" w:cs="Times New Roman"/>
          <w:noProof/>
          <w:sz w:val="28"/>
          <w:szCs w:val="28"/>
          <w:lang w:eastAsia="tr-TR"/>
        </w:rPr>
        <w:drawing>
          <wp:inline distT="0" distB="0" distL="0" distR="0" wp14:anchorId="62552A91">
            <wp:extent cx="1733550" cy="280392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2803929"/>
                    </a:xfrm>
                    <a:prstGeom prst="rect">
                      <a:avLst/>
                    </a:prstGeom>
                    <a:noFill/>
                  </pic:spPr>
                </pic:pic>
              </a:graphicData>
            </a:graphic>
          </wp:inline>
        </w:drawing>
      </w:r>
    </w:p>
    <w:p w:rsidR="005F690D" w:rsidRDefault="005F690D" w:rsidP="00D36DDC">
      <w:pPr>
        <w:jc w:val="both"/>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39A4513B">
            <wp:extent cx="2336412" cy="3543300"/>
            <wp:effectExtent l="0" t="0" r="698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412" cy="3543300"/>
                    </a:xfrm>
                    <a:prstGeom prst="rect">
                      <a:avLst/>
                    </a:prstGeom>
                    <a:noFill/>
                  </pic:spPr>
                </pic:pic>
              </a:graphicData>
            </a:graphic>
          </wp:inline>
        </w:drawing>
      </w:r>
      <w:r>
        <w:rPr>
          <w:noProof/>
          <w:lang w:eastAsia="tr-TR"/>
        </w:rPr>
        <mc:AlternateContent>
          <mc:Choice Requires="wps">
            <w:drawing>
              <wp:inline distT="0" distB="0" distL="0" distR="0" wp14:anchorId="34C3CFFD" wp14:editId="6E311CE8">
                <wp:extent cx="304800" cy="304800"/>
                <wp:effectExtent l="0" t="0" r="0" b="0"/>
                <wp:docPr id="3" name="AutoShape 3" descr="https://ms.hmb.gov.tr/uploads/sites/7/2019/09/paran%C4%B1n_tarihi_9-198x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çıklama: https://ms.hmb.gov.tr/uploads/sites/7/2019/09/paran%C4%B1n_tarihi_9-198x3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bChy48QIAAA8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5F690D" w:rsidRPr="00D36DDC" w:rsidRDefault="005F690D" w:rsidP="00D36DDC">
      <w:pPr>
        <w:jc w:val="both"/>
        <w:rPr>
          <w:rFonts w:ascii="Times New Roman" w:hAnsi="Times New Roman" w:cs="Times New Roman"/>
          <w:sz w:val="28"/>
          <w:szCs w:val="28"/>
        </w:rPr>
      </w:pPr>
      <w:bookmarkStart w:id="0" w:name="_GoBack"/>
      <w:bookmarkEnd w:id="0"/>
    </w:p>
    <w:sectPr w:rsidR="005F690D" w:rsidRPr="00D36D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2FF9"/>
    <w:multiLevelType w:val="multilevel"/>
    <w:tmpl w:val="493CD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E923C0"/>
    <w:multiLevelType w:val="multilevel"/>
    <w:tmpl w:val="761C7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F16344B"/>
    <w:multiLevelType w:val="hybridMultilevel"/>
    <w:tmpl w:val="C932360A"/>
    <w:lvl w:ilvl="0" w:tplc="DC181B4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DDC"/>
    <w:rsid w:val="000A545E"/>
    <w:rsid w:val="004F1815"/>
    <w:rsid w:val="005F690D"/>
    <w:rsid w:val="00D36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36DDC"/>
    <w:pPr>
      <w:ind w:left="720"/>
      <w:contextualSpacing/>
    </w:pPr>
  </w:style>
  <w:style w:type="paragraph" w:styleId="BalonMetni">
    <w:name w:val="Balloon Text"/>
    <w:basedOn w:val="Normal"/>
    <w:link w:val="BalonMetniChar"/>
    <w:uiPriority w:val="99"/>
    <w:semiHidden/>
    <w:unhideWhenUsed/>
    <w:rsid w:val="00D36D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D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36DDC"/>
    <w:pPr>
      <w:ind w:left="720"/>
      <w:contextualSpacing/>
    </w:pPr>
  </w:style>
  <w:style w:type="paragraph" w:styleId="BalonMetni">
    <w:name w:val="Balloon Text"/>
    <w:basedOn w:val="Normal"/>
    <w:link w:val="BalonMetniChar"/>
    <w:uiPriority w:val="99"/>
    <w:semiHidden/>
    <w:unhideWhenUsed/>
    <w:rsid w:val="00D36D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76805">
      <w:bodyDiv w:val="1"/>
      <w:marLeft w:val="0"/>
      <w:marRight w:val="0"/>
      <w:marTop w:val="0"/>
      <w:marBottom w:val="0"/>
      <w:divBdr>
        <w:top w:val="none" w:sz="0" w:space="0" w:color="auto"/>
        <w:left w:val="none" w:sz="0" w:space="0" w:color="auto"/>
        <w:bottom w:val="none" w:sz="0" w:space="0" w:color="auto"/>
        <w:right w:val="none" w:sz="0" w:space="0" w:color="auto"/>
      </w:divBdr>
    </w:div>
    <w:div w:id="1372804234">
      <w:bodyDiv w:val="1"/>
      <w:marLeft w:val="0"/>
      <w:marRight w:val="0"/>
      <w:marTop w:val="0"/>
      <w:marBottom w:val="0"/>
      <w:divBdr>
        <w:top w:val="none" w:sz="0" w:space="0" w:color="auto"/>
        <w:left w:val="none" w:sz="0" w:space="0" w:color="auto"/>
        <w:bottom w:val="none" w:sz="0" w:space="0" w:color="auto"/>
        <w:right w:val="none" w:sz="0" w:space="0" w:color="auto"/>
      </w:divBdr>
      <w:divsChild>
        <w:div w:id="911741652">
          <w:marLeft w:val="0"/>
          <w:marRight w:val="0"/>
          <w:marTop w:val="0"/>
          <w:marBottom w:val="0"/>
          <w:divBdr>
            <w:top w:val="none" w:sz="0" w:space="0" w:color="auto"/>
            <w:left w:val="none" w:sz="0" w:space="0" w:color="auto"/>
            <w:bottom w:val="none" w:sz="0" w:space="0" w:color="auto"/>
            <w:right w:val="none" w:sz="0" w:space="0" w:color="auto"/>
          </w:divBdr>
        </w:div>
        <w:div w:id="1327199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2374</Words>
  <Characters>13538</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2021-09-18T12:51:00Z</dcterms:created>
  <dcterms:modified xsi:type="dcterms:W3CDTF">2021-09-18T12:51:00Z</dcterms:modified>
</cp:coreProperties>
</file>