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BC" w:rsidRPr="00AA0FBC" w:rsidRDefault="00AA0FBC" w:rsidP="00AA0FBC">
      <w:pPr>
        <w:spacing w:after="99" w:line="312" w:lineRule="atLeast"/>
        <w:outlineLvl w:val="0"/>
        <w:rPr>
          <w:rFonts w:ascii="Times New Roman" w:eastAsia="Times New Roman" w:hAnsi="Times New Roman" w:cs="Times New Roman"/>
          <w:b/>
          <w:bCs/>
          <w:color w:val="0070C0"/>
          <w:kern w:val="36"/>
          <w:sz w:val="24"/>
          <w:szCs w:val="24"/>
          <w:lang w:eastAsia="tr-TR"/>
        </w:rPr>
      </w:pPr>
      <w:r w:rsidRPr="00AA0FBC">
        <w:rPr>
          <w:rFonts w:ascii="Times New Roman" w:eastAsia="Times New Roman" w:hAnsi="Times New Roman" w:cs="Times New Roman"/>
          <w:b/>
          <w:bCs/>
          <w:color w:val="0070C0"/>
          <w:kern w:val="36"/>
          <w:sz w:val="24"/>
          <w:szCs w:val="24"/>
          <w:lang w:eastAsia="tr-TR"/>
        </w:rPr>
        <w:t>İşyeri Devrinde Devreden ve Devir Alan İşverenlerin Sorumluluğu ve Kıdem Tazminatı – Yargıtay 9. Hukuk Dairesi Kararı E: 2016/22182</w:t>
      </w:r>
    </w:p>
    <w:p w:rsidR="00AA0FBC" w:rsidRPr="00AA0FBC" w:rsidRDefault="00AA0FBC" w:rsidP="00AA0FBC">
      <w:pPr>
        <w:pStyle w:val="AralkYok"/>
        <w:rPr>
          <w:lang w:eastAsia="tr-TR"/>
        </w:rPr>
      </w:pPr>
      <w:r w:rsidRPr="00AA0FBC">
        <w:rPr>
          <w:lang w:eastAsia="tr-TR"/>
        </w:rPr>
        <w:t>T.C.</w:t>
      </w:r>
    </w:p>
    <w:p w:rsidR="00AA0FBC" w:rsidRPr="00AA0FBC" w:rsidRDefault="00AA0FBC" w:rsidP="00AA0FBC">
      <w:pPr>
        <w:pStyle w:val="AralkYok"/>
        <w:rPr>
          <w:lang w:eastAsia="tr-TR"/>
        </w:rPr>
      </w:pPr>
      <w:r w:rsidRPr="00AA0FBC">
        <w:rPr>
          <w:lang w:eastAsia="tr-TR"/>
        </w:rPr>
        <w:t>YARGITAY</w:t>
      </w:r>
    </w:p>
    <w:p w:rsidR="00AA0FBC" w:rsidRPr="00AA0FBC" w:rsidRDefault="00AA0FBC" w:rsidP="00AA0FBC">
      <w:pPr>
        <w:pStyle w:val="AralkYok"/>
        <w:rPr>
          <w:lang w:eastAsia="tr-TR"/>
        </w:rPr>
      </w:pPr>
      <w:r w:rsidRPr="00AA0FBC">
        <w:rPr>
          <w:lang w:eastAsia="tr-TR"/>
        </w:rPr>
        <w:t>9. Hukuk Dairesi</w:t>
      </w:r>
    </w:p>
    <w:p w:rsidR="00AA0FBC" w:rsidRPr="00AA0FBC" w:rsidRDefault="00AA0FBC" w:rsidP="00AA0FBC">
      <w:pPr>
        <w:pStyle w:val="AralkYok"/>
        <w:rPr>
          <w:lang w:eastAsia="tr-TR"/>
        </w:rPr>
      </w:pPr>
      <w:r w:rsidRPr="00AA0FBC">
        <w:rPr>
          <w:lang w:eastAsia="tr-TR"/>
        </w:rPr>
        <w:t>Esas No: 2016/22182</w:t>
      </w:r>
    </w:p>
    <w:p w:rsidR="00AA0FBC" w:rsidRPr="00AA0FBC" w:rsidRDefault="00AA0FBC" w:rsidP="00AA0FBC">
      <w:pPr>
        <w:pStyle w:val="AralkYok"/>
        <w:rPr>
          <w:lang w:eastAsia="tr-TR"/>
        </w:rPr>
      </w:pPr>
      <w:r w:rsidRPr="00AA0FBC">
        <w:rPr>
          <w:lang w:eastAsia="tr-TR"/>
        </w:rPr>
        <w:t>Karar No: 2020/7816</w:t>
      </w:r>
    </w:p>
    <w:p w:rsidR="00AA0FBC" w:rsidRPr="00AA0FBC" w:rsidRDefault="00AA0FBC" w:rsidP="00AA0FBC">
      <w:pPr>
        <w:pStyle w:val="AralkYok"/>
        <w:rPr>
          <w:lang w:eastAsia="tr-TR"/>
        </w:rPr>
      </w:pPr>
      <w:r w:rsidRPr="00AA0FBC">
        <w:rPr>
          <w:lang w:eastAsia="tr-TR"/>
        </w:rPr>
        <w:t xml:space="preserve">Tarihi: </w:t>
      </w:r>
      <w:proofErr w:type="gramStart"/>
      <w:r w:rsidRPr="00AA0FBC">
        <w:rPr>
          <w:lang w:eastAsia="tr-TR"/>
        </w:rPr>
        <w:t>15/09/2020</w:t>
      </w:r>
      <w:proofErr w:type="gramEnd"/>
    </w:p>
    <w:p w:rsidR="00AA0FBC" w:rsidRPr="00AA0FBC" w:rsidRDefault="00AA0FBC" w:rsidP="00AA0FBC">
      <w:pPr>
        <w:pStyle w:val="AralkYok"/>
        <w:rPr>
          <w:lang w:eastAsia="tr-TR"/>
        </w:rPr>
      </w:pPr>
      <w:proofErr w:type="gramStart"/>
      <w:r w:rsidRPr="00AA0FBC">
        <w:rPr>
          <w:lang w:eastAsia="tr-TR"/>
        </w:rPr>
        <w:t>»</w:t>
      </w:r>
      <w:proofErr w:type="gramEnd"/>
      <w:r w:rsidRPr="00AA0FBC">
        <w:rPr>
          <w:lang w:eastAsia="tr-TR"/>
        </w:rPr>
        <w:t xml:space="preserve"> İşyeri Devri</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 xml:space="preserve"> İşyeri Devrinde Devreden ve Devir Alan İşverenlerin Sorumluluğu</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 xml:space="preserve"> Devreden İşverenin Kıdem Tazminatından Doğan Sorumluluğunun Devir Tarihindeki Ücret ve Devir Tarihine Kadar Geçen Kıdem Süresi İle Sınırlı Olduğu</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 xml:space="preserve"> İşyeri Devrinde Devreden İşverenin Sorumluluğuna İlişkin İş Yasasının 6. Maddesinde Yer Alan 2 Yıllık Süre Sınırlamasının Kıdem Tazminatı Açısından Geçerli Olmadığı</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r w:rsidRPr="00AA0FBC">
        <w:rPr>
          <w:rFonts w:ascii="Times New Roman" w:eastAsia="Times New Roman" w:hAnsi="Times New Roman" w:cs="Times New Roman"/>
          <w:b/>
          <w:bCs/>
          <w:color w:val="A3231F"/>
          <w:sz w:val="24"/>
          <w:szCs w:val="24"/>
          <w:lang w:eastAsia="tr-TR"/>
        </w:rPr>
        <w:t>ÖZET:</w:t>
      </w:r>
      <w:r w:rsidRPr="00AA0FBC">
        <w:rPr>
          <w:rFonts w:ascii="Times New Roman" w:eastAsia="Times New Roman" w:hAnsi="Times New Roman" w:cs="Times New Roman"/>
          <w:color w:val="A3231F"/>
          <w:sz w:val="24"/>
          <w:szCs w:val="24"/>
          <w:lang w:eastAsia="tr-TR"/>
        </w:rPr>
        <w:t> 4857 sayılı İş Kanunu’nun 120. maddesi hükmüne göre 1475 sayılı Yasa’nın 14. maddesi halen yürürlükte olduğundan, kıdem tazminatına hak kazanma ve hesap yöntemi bakımından işyeri devirlerinde belirtilen hüküm uygulanmalıdır. Anılan hükme göre, işyerlerinin devir veya intikali yahut herhangi bir suretle bir işverenden başka bir işverene geçmesi veya başka bir yere nakli halinde işçinin kıdemi, işyeri veya işyerlerindeki hizmet akitleri sürelerinin toplamı üzerinden hesaplanmalıdır. Bununla birlikte, işyerini devreden işverenlerin bu sorumlulukları, işçiyi çalıştırdıkları sürelerle ve devir esnasındaki işçinin aldığı ücret seviyesiyle sınırlıdır. İşyerini miras yoluyla intikali de, 4721 sayılı Türk Medeni Kanunu’nun 599. maddesinde düzenlenmiş,</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proofErr w:type="gramStart"/>
      <w:r w:rsidRPr="00AA0FBC">
        <w:rPr>
          <w:rFonts w:ascii="Times New Roman" w:eastAsia="Times New Roman" w:hAnsi="Times New Roman" w:cs="Times New Roman"/>
          <w:color w:val="A3231F"/>
          <w:sz w:val="24"/>
          <w:szCs w:val="24"/>
          <w:lang w:eastAsia="tr-TR"/>
        </w:rPr>
        <w:t>sözü</w:t>
      </w:r>
      <w:proofErr w:type="gramEnd"/>
      <w:r w:rsidRPr="00AA0FBC">
        <w:rPr>
          <w:rFonts w:ascii="Times New Roman" w:eastAsia="Times New Roman" w:hAnsi="Times New Roman" w:cs="Times New Roman"/>
          <w:color w:val="A3231F"/>
          <w:sz w:val="24"/>
          <w:szCs w:val="24"/>
          <w:lang w:eastAsia="tr-TR"/>
        </w:rPr>
        <w:t xml:space="preserve"> edilen hükümde mirasçıların </w:t>
      </w:r>
      <w:proofErr w:type="spellStart"/>
      <w:r w:rsidRPr="00AA0FBC">
        <w:rPr>
          <w:rFonts w:ascii="Times New Roman" w:eastAsia="Times New Roman" w:hAnsi="Times New Roman" w:cs="Times New Roman"/>
          <w:color w:val="A3231F"/>
          <w:sz w:val="24"/>
          <w:szCs w:val="24"/>
          <w:lang w:eastAsia="tr-TR"/>
        </w:rPr>
        <w:t>mirasbırakanın</w:t>
      </w:r>
      <w:proofErr w:type="spellEnd"/>
      <w:r w:rsidRPr="00AA0FBC">
        <w:rPr>
          <w:rFonts w:ascii="Times New Roman" w:eastAsia="Times New Roman" w:hAnsi="Times New Roman" w:cs="Times New Roman"/>
          <w:color w:val="A3231F"/>
          <w:sz w:val="24"/>
          <w:szCs w:val="24"/>
          <w:lang w:eastAsia="tr-TR"/>
        </w:rPr>
        <w:t xml:space="preserve"> ölümü ile mirasa bir bütün olarak hak kazanacakları açıklanmıştır.</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proofErr w:type="gramStart"/>
      <w:r w:rsidRPr="00AA0FBC">
        <w:rPr>
          <w:rFonts w:ascii="Times New Roman" w:eastAsia="Times New Roman" w:hAnsi="Times New Roman" w:cs="Times New Roman"/>
          <w:color w:val="A3231F"/>
          <w:sz w:val="24"/>
          <w:szCs w:val="24"/>
          <w:lang w:eastAsia="tr-TR"/>
        </w:rPr>
        <w:t>işyerinin</w:t>
      </w:r>
      <w:proofErr w:type="gramEnd"/>
      <w:r w:rsidRPr="00AA0FBC">
        <w:rPr>
          <w:rFonts w:ascii="Times New Roman" w:eastAsia="Times New Roman" w:hAnsi="Times New Roman" w:cs="Times New Roman"/>
          <w:color w:val="A3231F"/>
          <w:sz w:val="24"/>
          <w:szCs w:val="24"/>
          <w:lang w:eastAsia="tr-TR"/>
        </w:rPr>
        <w:t xml:space="preserve"> önceleri gerçek kişi ya da kişilerce işletilmesinin ardından şirketleşmeye gidilmesi</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proofErr w:type="gramStart"/>
      <w:r w:rsidRPr="00AA0FBC">
        <w:rPr>
          <w:rFonts w:ascii="Times New Roman" w:eastAsia="Times New Roman" w:hAnsi="Times New Roman" w:cs="Times New Roman"/>
          <w:color w:val="A3231F"/>
          <w:sz w:val="24"/>
          <w:szCs w:val="24"/>
          <w:lang w:eastAsia="tr-TR"/>
        </w:rPr>
        <w:t>halinde</w:t>
      </w:r>
      <w:proofErr w:type="gramEnd"/>
      <w:r w:rsidRPr="00AA0FBC">
        <w:rPr>
          <w:rFonts w:ascii="Times New Roman" w:eastAsia="Times New Roman" w:hAnsi="Times New Roman" w:cs="Times New Roman"/>
          <w:color w:val="A3231F"/>
          <w:sz w:val="24"/>
          <w:szCs w:val="24"/>
          <w:lang w:eastAsia="tr-TR"/>
        </w:rPr>
        <w:t xml:space="preserve">, bu işlem de bir tür işyeri devridir. Önceki gerçek kişi olan işverenlerin devralan tüzel kişi ortakları olması bu devir ilişkisini ortadan kaldırmamaktadır </w:t>
      </w:r>
      <w:proofErr w:type="gramStart"/>
      <w:r w:rsidRPr="00AA0FBC">
        <w:rPr>
          <w:rFonts w:ascii="Times New Roman" w:eastAsia="Times New Roman" w:hAnsi="Times New Roman" w:cs="Times New Roman"/>
          <w:color w:val="A3231F"/>
          <w:sz w:val="24"/>
          <w:szCs w:val="24"/>
          <w:lang w:eastAsia="tr-TR"/>
        </w:rPr>
        <w:t>(</w:t>
      </w:r>
      <w:proofErr w:type="gramEnd"/>
      <w:r w:rsidRPr="00AA0FBC">
        <w:rPr>
          <w:rFonts w:ascii="Times New Roman" w:eastAsia="Times New Roman" w:hAnsi="Times New Roman" w:cs="Times New Roman"/>
          <w:color w:val="A3231F"/>
          <w:sz w:val="24"/>
          <w:szCs w:val="24"/>
          <w:lang w:eastAsia="tr-TR"/>
        </w:rPr>
        <w:t>Yargıtay 9.HD. 22.7.2008 gün 2007/ 20491 E, 2008/ 21645 K.</w:t>
      </w:r>
      <w:proofErr w:type="gramStart"/>
      <w:r w:rsidRPr="00AA0FBC">
        <w:rPr>
          <w:rFonts w:ascii="Times New Roman" w:eastAsia="Times New Roman" w:hAnsi="Times New Roman" w:cs="Times New Roman"/>
          <w:color w:val="A3231F"/>
          <w:sz w:val="24"/>
          <w:szCs w:val="24"/>
          <w:lang w:eastAsia="tr-TR"/>
        </w:rPr>
        <w:t>)</w:t>
      </w:r>
      <w:proofErr w:type="gramEnd"/>
      <w:r w:rsidRPr="00AA0FBC">
        <w:rPr>
          <w:rFonts w:ascii="Times New Roman" w:eastAsia="Times New Roman" w:hAnsi="Times New Roman" w:cs="Times New Roman"/>
          <w:color w:val="A3231F"/>
          <w:sz w:val="24"/>
          <w:szCs w:val="24"/>
          <w:lang w:eastAsia="tr-TR"/>
        </w:rPr>
        <w:t>.</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r w:rsidRPr="00AA0FBC">
        <w:rPr>
          <w:rFonts w:ascii="Times New Roman" w:eastAsia="Times New Roman" w:hAnsi="Times New Roman" w:cs="Times New Roman"/>
          <w:color w:val="A3231F"/>
          <w:sz w:val="24"/>
          <w:szCs w:val="24"/>
          <w:lang w:eastAsia="tr-TR"/>
        </w:rPr>
        <w:t xml:space="preserve">Aynı şekilde daha önce tüzel kişi şirket olan işverenin işyerini bir gerçek şahsa devretmesi de mümkündür. Devralanın şirketin hissedarlarından biri olması da imkan </w:t>
      </w:r>
      <w:proofErr w:type="gramStart"/>
      <w:r w:rsidRPr="00AA0FBC">
        <w:rPr>
          <w:rFonts w:ascii="Times New Roman" w:eastAsia="Times New Roman" w:hAnsi="Times New Roman" w:cs="Times New Roman"/>
          <w:color w:val="A3231F"/>
          <w:sz w:val="24"/>
          <w:szCs w:val="24"/>
          <w:lang w:eastAsia="tr-TR"/>
        </w:rPr>
        <w:t>dahilindedir</w:t>
      </w:r>
      <w:proofErr w:type="gramEnd"/>
      <w:r w:rsidRPr="00AA0FBC">
        <w:rPr>
          <w:rFonts w:ascii="Times New Roman" w:eastAsia="Times New Roman" w:hAnsi="Times New Roman" w:cs="Times New Roman"/>
          <w:color w:val="A3231F"/>
          <w:sz w:val="24"/>
          <w:szCs w:val="24"/>
          <w:lang w:eastAsia="tr-TR"/>
        </w:rPr>
        <w:t>.</w:t>
      </w:r>
    </w:p>
    <w:p w:rsidR="00AA0FBC" w:rsidRPr="00AA0FBC" w:rsidRDefault="00AA0FBC" w:rsidP="00AA0FBC">
      <w:pPr>
        <w:shd w:val="clear" w:color="auto" w:fill="FEF5F5"/>
        <w:spacing w:after="197" w:line="240" w:lineRule="auto"/>
        <w:jc w:val="both"/>
        <w:rPr>
          <w:rFonts w:ascii="Times New Roman" w:eastAsia="Times New Roman" w:hAnsi="Times New Roman" w:cs="Times New Roman"/>
          <w:color w:val="A3231F"/>
          <w:sz w:val="24"/>
          <w:szCs w:val="24"/>
          <w:lang w:eastAsia="tr-TR"/>
        </w:rPr>
      </w:pPr>
      <w:r w:rsidRPr="00AA0FBC">
        <w:rPr>
          <w:rFonts w:ascii="Times New Roman" w:eastAsia="Times New Roman" w:hAnsi="Times New Roman" w:cs="Times New Roman"/>
          <w:color w:val="A3231F"/>
          <w:sz w:val="24"/>
          <w:szCs w:val="24"/>
          <w:lang w:eastAsia="tr-TR"/>
        </w:rPr>
        <w:t>Adi ortaklardan bir ya da bazılarının hisselerini devri de sorumlulukların belirlenmesi noktasında işyeri devri olarak işlem görmelidir.</w:t>
      </w:r>
    </w:p>
    <w:p w:rsidR="00AA0FBC" w:rsidRPr="00AA0FBC" w:rsidRDefault="00AA0FBC" w:rsidP="00AA0FBC">
      <w:pPr>
        <w:shd w:val="clear" w:color="auto" w:fill="FEF5F5"/>
        <w:spacing w:line="240" w:lineRule="auto"/>
        <w:jc w:val="both"/>
        <w:rPr>
          <w:rFonts w:ascii="Times New Roman" w:eastAsia="Times New Roman" w:hAnsi="Times New Roman" w:cs="Times New Roman"/>
          <w:color w:val="A3231F"/>
          <w:sz w:val="24"/>
          <w:szCs w:val="24"/>
          <w:lang w:eastAsia="tr-TR"/>
        </w:rPr>
      </w:pPr>
      <w:proofErr w:type="gramStart"/>
      <w:r w:rsidRPr="00AA0FBC">
        <w:rPr>
          <w:rFonts w:ascii="Times New Roman" w:eastAsia="Times New Roman" w:hAnsi="Times New Roman" w:cs="Times New Roman"/>
          <w:color w:val="A3231F"/>
          <w:sz w:val="24"/>
          <w:szCs w:val="24"/>
          <w:lang w:eastAsia="tr-TR"/>
        </w:rPr>
        <w:t>işyeri</w:t>
      </w:r>
      <w:proofErr w:type="gramEnd"/>
      <w:r w:rsidRPr="00AA0FBC">
        <w:rPr>
          <w:rFonts w:ascii="Times New Roman" w:eastAsia="Times New Roman" w:hAnsi="Times New Roman" w:cs="Times New Roman"/>
          <w:color w:val="A3231F"/>
          <w:sz w:val="24"/>
          <w:szCs w:val="24"/>
          <w:lang w:eastAsia="tr-TR"/>
        </w:rPr>
        <w:t xml:space="preserve"> devrinin temel ölçütü, ekonomik birliğin kimliğini korunmasıdır. Avrupa Adalet Divanı kararlarına göre, maddi ve maddi olmayan unsurların devredilip devredilmediği ve devir anındaki değeri, işgücünün devri, müşteri çevresinin devri, işyerinde devirden önce ve sonra yürütülen faaliyetlerin benzerlik derecesi, işyerinde faaliyete ara verilmişse bunun süresi, işyeri devrinin kriterleri arasında kabul edilmektedir(Süzen, v. </w:t>
      </w:r>
      <w:proofErr w:type="spellStart"/>
      <w:r w:rsidRPr="00AA0FBC">
        <w:rPr>
          <w:rFonts w:ascii="Times New Roman" w:eastAsia="Times New Roman" w:hAnsi="Times New Roman" w:cs="Times New Roman"/>
          <w:color w:val="A3231F"/>
          <w:sz w:val="24"/>
          <w:szCs w:val="24"/>
          <w:lang w:eastAsia="tr-TR"/>
        </w:rPr>
        <w:t>Zehnacker</w:t>
      </w:r>
      <w:proofErr w:type="spellEnd"/>
      <w:r w:rsidRPr="00AA0FBC">
        <w:rPr>
          <w:rFonts w:ascii="Times New Roman" w:eastAsia="Times New Roman" w:hAnsi="Times New Roman" w:cs="Times New Roman"/>
          <w:color w:val="A3231F"/>
          <w:sz w:val="24"/>
          <w:szCs w:val="24"/>
          <w:lang w:eastAsia="tr-TR"/>
        </w:rPr>
        <w:t xml:space="preserve"> </w:t>
      </w:r>
      <w:proofErr w:type="spellStart"/>
      <w:r w:rsidRPr="00AA0FBC">
        <w:rPr>
          <w:rFonts w:ascii="Times New Roman" w:eastAsia="Times New Roman" w:hAnsi="Times New Roman" w:cs="Times New Roman"/>
          <w:color w:val="A3231F"/>
          <w:sz w:val="24"/>
          <w:szCs w:val="24"/>
          <w:lang w:eastAsia="tr-TR"/>
        </w:rPr>
        <w:t>Krankenhausservice</w:t>
      </w:r>
      <w:proofErr w:type="spellEnd"/>
      <w:r w:rsidRPr="00AA0FBC">
        <w:rPr>
          <w:rFonts w:ascii="Times New Roman" w:eastAsia="Times New Roman" w:hAnsi="Times New Roman" w:cs="Times New Roman"/>
          <w:color w:val="A3231F"/>
          <w:sz w:val="24"/>
          <w:szCs w:val="24"/>
          <w:lang w:eastAsia="tr-TR"/>
        </w:rPr>
        <w:t xml:space="preserve">, </w:t>
      </w:r>
      <w:proofErr w:type="spellStart"/>
      <w:r w:rsidRPr="00AA0FBC">
        <w:rPr>
          <w:rFonts w:ascii="Times New Roman" w:eastAsia="Times New Roman" w:hAnsi="Times New Roman" w:cs="Times New Roman"/>
          <w:color w:val="A3231F"/>
          <w:sz w:val="24"/>
          <w:szCs w:val="24"/>
          <w:lang w:eastAsia="tr-TR"/>
        </w:rPr>
        <w:t>Case</w:t>
      </w:r>
      <w:proofErr w:type="spellEnd"/>
      <w:r w:rsidRPr="00AA0FBC">
        <w:rPr>
          <w:rFonts w:ascii="Times New Roman" w:eastAsia="Times New Roman" w:hAnsi="Times New Roman" w:cs="Times New Roman"/>
          <w:color w:val="A3231F"/>
          <w:sz w:val="24"/>
          <w:szCs w:val="24"/>
          <w:lang w:eastAsia="tr-TR"/>
        </w:rPr>
        <w:t xml:space="preserve"> 13/95, 1997, ECR I-1259</w:t>
      </w:r>
      <w:proofErr w:type="gramStart"/>
      <w:r w:rsidRPr="00AA0FBC">
        <w:rPr>
          <w:rFonts w:ascii="Times New Roman" w:eastAsia="Times New Roman" w:hAnsi="Times New Roman" w:cs="Times New Roman"/>
          <w:color w:val="A3231F"/>
          <w:sz w:val="24"/>
          <w:szCs w:val="24"/>
          <w:lang w:eastAsia="tr-TR"/>
        </w:rPr>
        <w:t>.;</w:t>
      </w:r>
      <w:proofErr w:type="gramEnd"/>
      <w:r w:rsidRPr="00AA0FBC">
        <w:rPr>
          <w:rFonts w:ascii="Times New Roman" w:eastAsia="Times New Roman" w:hAnsi="Times New Roman" w:cs="Times New Roman"/>
          <w:color w:val="A3231F"/>
          <w:sz w:val="24"/>
          <w:szCs w:val="24"/>
          <w:lang w:eastAsia="tr-TR"/>
        </w:rPr>
        <w:t xml:space="preserve"> </w:t>
      </w:r>
      <w:proofErr w:type="spellStart"/>
      <w:r w:rsidRPr="00AA0FBC">
        <w:rPr>
          <w:rFonts w:ascii="Times New Roman" w:eastAsia="Times New Roman" w:hAnsi="Times New Roman" w:cs="Times New Roman"/>
          <w:color w:val="A3231F"/>
          <w:sz w:val="24"/>
          <w:szCs w:val="24"/>
          <w:lang w:eastAsia="tr-TR"/>
        </w:rPr>
        <w:t>Spijkers</w:t>
      </w:r>
      <w:proofErr w:type="spellEnd"/>
      <w:r w:rsidRPr="00AA0FBC">
        <w:rPr>
          <w:rFonts w:ascii="Times New Roman" w:eastAsia="Times New Roman" w:hAnsi="Times New Roman" w:cs="Times New Roman"/>
          <w:color w:val="A3231F"/>
          <w:sz w:val="24"/>
          <w:szCs w:val="24"/>
          <w:lang w:eastAsia="tr-TR"/>
        </w:rPr>
        <w:t xml:space="preserve"> v. </w:t>
      </w:r>
      <w:proofErr w:type="spellStart"/>
      <w:r w:rsidRPr="00AA0FBC">
        <w:rPr>
          <w:rFonts w:ascii="Times New Roman" w:eastAsia="Times New Roman" w:hAnsi="Times New Roman" w:cs="Times New Roman"/>
          <w:color w:val="A3231F"/>
          <w:sz w:val="24"/>
          <w:szCs w:val="24"/>
          <w:lang w:eastAsia="tr-TR"/>
        </w:rPr>
        <w:t>Benedik</w:t>
      </w:r>
      <w:proofErr w:type="spellEnd"/>
      <w:r w:rsidRPr="00AA0FBC">
        <w:rPr>
          <w:rFonts w:ascii="Times New Roman" w:eastAsia="Times New Roman" w:hAnsi="Times New Roman" w:cs="Times New Roman"/>
          <w:color w:val="A3231F"/>
          <w:sz w:val="24"/>
          <w:szCs w:val="24"/>
          <w:lang w:eastAsia="tr-TR"/>
        </w:rPr>
        <w:t xml:space="preserve">, </w:t>
      </w:r>
      <w:proofErr w:type="spellStart"/>
      <w:r w:rsidRPr="00AA0FBC">
        <w:rPr>
          <w:rFonts w:ascii="Times New Roman" w:eastAsia="Times New Roman" w:hAnsi="Times New Roman" w:cs="Times New Roman"/>
          <w:color w:val="A3231F"/>
          <w:sz w:val="24"/>
          <w:szCs w:val="24"/>
          <w:lang w:eastAsia="tr-TR"/>
        </w:rPr>
        <w:t>Case</w:t>
      </w:r>
      <w:proofErr w:type="spellEnd"/>
      <w:r w:rsidRPr="00AA0FBC">
        <w:rPr>
          <w:rFonts w:ascii="Times New Roman" w:eastAsia="Times New Roman" w:hAnsi="Times New Roman" w:cs="Times New Roman"/>
          <w:color w:val="A3231F"/>
          <w:sz w:val="24"/>
          <w:szCs w:val="24"/>
          <w:lang w:eastAsia="tr-TR"/>
        </w:rPr>
        <w:t xml:space="preserve"> 24/85, 1986, ECR 1119.) işyeri devri halinde kıdem tazminatı bakımından devreden işveren kendi dönemi ve devir tarihindeki son ücreti ile sınırlı olmak üzere sorumludur. 1475 sayılı Yasa’nın 14/2. maddesinde devreden işverenin sorumluluğu bakımından bir süre öngörülmediğinden, 4857 </w:t>
      </w:r>
      <w:r w:rsidRPr="00AA0FBC">
        <w:rPr>
          <w:rFonts w:ascii="Times New Roman" w:eastAsia="Times New Roman" w:hAnsi="Times New Roman" w:cs="Times New Roman"/>
          <w:color w:val="A3231F"/>
          <w:sz w:val="24"/>
          <w:szCs w:val="24"/>
          <w:lang w:eastAsia="tr-TR"/>
        </w:rPr>
        <w:lastRenderedPageBreak/>
        <w:t>sayılı iş Kanunu’nun 6. maddesinde sözü edilen devreden işveren için 2 yıllık süre sınırlaması, kıdem tazminatı bakımından söz konusu olmaz.</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YARGITAY KARARI</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Davacı İsteminin Özeti:</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Davacı vekili, müvekkilinin davalı işyerinde </w:t>
      </w:r>
      <w:proofErr w:type="gramStart"/>
      <w:r w:rsidRPr="00AA0FBC">
        <w:rPr>
          <w:rFonts w:ascii="Times New Roman" w:eastAsia="Times New Roman" w:hAnsi="Times New Roman" w:cs="Times New Roman"/>
          <w:color w:val="2D2D2D"/>
          <w:sz w:val="24"/>
          <w:szCs w:val="24"/>
          <w:lang w:eastAsia="tr-TR"/>
        </w:rPr>
        <w:t>20/02/2012</w:t>
      </w:r>
      <w:proofErr w:type="gramEnd"/>
      <w:r w:rsidRPr="00AA0FBC">
        <w:rPr>
          <w:rFonts w:ascii="Times New Roman" w:eastAsia="Times New Roman" w:hAnsi="Times New Roman" w:cs="Times New Roman"/>
          <w:color w:val="2D2D2D"/>
          <w:sz w:val="24"/>
          <w:szCs w:val="24"/>
          <w:lang w:eastAsia="tr-TR"/>
        </w:rPr>
        <w:t>-15/04/2015 tarihleri arasında montaj elamanı olarak çalıştığı, iş akdinin haksız olarak feshedildiği, fazla çalışma ve hafta tatili çalışması yaptığı halde ücretinin ödenmediği iddiası ile kıdem ve ihbar tazminatı, yıllık izin ücreti, maaş alacağı, fazla çalışma ve hafta tatili ücreti alacaklarının hüküm altına alınmasını talep etmiştir.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Davalı Cevabının Özeti:</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Davalı davanın reddi gerektiğini savunmuştur.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Mahkeme Kararının Özeti:</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Mahkemece yapılan yargılama neticesinde davanın kısmen kabulüne karar verilmiştir.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Temyiz:</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Kararı davalı vekili temyiz etmiştir.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Gerekçe:</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1- Dosyadaki yazılara toplanan delillerle kararın dayandığı kanuni gerektirici sebeplere göre, davalının aşağıdaki bentlerin kapsamı dışında kalan temyiz itirazları yerinde değildir.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2- İşyeri devrinin iş ilişkisine etkileri ile çalışma süresi bakımından taraflar arasında uyuşmazlık söz konusudur.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İşyeri devrinin esasları ve sonuçları 4857 sayılı İş Kanunu’nun 6. maddesinde düzenlenmiştir. Sözü edilen hükümde, işyerinin veya bir bölümünün devrinde devir tarihinde mevcut olan iş sözleşmelerinin bütün hak ve borçlarıyla devralan işverene geçeceği öngörülmüştür. Devir tarihinden önce doğmuş ve devir tarihinde ödenmesi gereken borçlarda ise, devreden işverenle devralan işverenin birlikte sorumlu olduğu aynı yasanın 3. fıkrasında açıklanmış ve devreden işverenin sorumluluğunun devir tarihinden itibaren iki yıl süreyle sınırlı olduğu hükme bağlanmıştır.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hyperlink r:id="rId4" w:history="1">
        <w:r w:rsidRPr="00AA0FBC">
          <w:rPr>
            <w:rFonts w:ascii="Times New Roman" w:eastAsia="Times New Roman" w:hAnsi="Times New Roman" w:cs="Times New Roman"/>
            <w:b/>
            <w:bCs/>
            <w:color w:val="1E73BE"/>
            <w:sz w:val="24"/>
            <w:szCs w:val="24"/>
            <w:lang w:eastAsia="tr-TR"/>
          </w:rPr>
          <w:t>4857 sayılı İş Kanunu</w:t>
        </w:r>
      </w:hyperlink>
      <w:r w:rsidRPr="00AA0FBC">
        <w:rPr>
          <w:rFonts w:ascii="Times New Roman" w:eastAsia="Times New Roman" w:hAnsi="Times New Roman" w:cs="Times New Roman"/>
          <w:color w:val="2D2D2D"/>
          <w:sz w:val="24"/>
          <w:szCs w:val="24"/>
          <w:lang w:eastAsia="tr-TR"/>
        </w:rPr>
        <w:t>‘</w:t>
      </w:r>
      <w:proofErr w:type="spellStart"/>
      <w:r w:rsidRPr="00AA0FBC">
        <w:rPr>
          <w:rFonts w:ascii="Times New Roman" w:eastAsia="Times New Roman" w:hAnsi="Times New Roman" w:cs="Times New Roman"/>
          <w:color w:val="2D2D2D"/>
          <w:sz w:val="24"/>
          <w:szCs w:val="24"/>
          <w:lang w:eastAsia="tr-TR"/>
        </w:rPr>
        <w:t>nun</w:t>
      </w:r>
      <w:proofErr w:type="spellEnd"/>
      <w:r w:rsidRPr="00AA0FBC">
        <w:rPr>
          <w:rFonts w:ascii="Times New Roman" w:eastAsia="Times New Roman" w:hAnsi="Times New Roman" w:cs="Times New Roman"/>
          <w:color w:val="2D2D2D"/>
          <w:sz w:val="24"/>
          <w:szCs w:val="24"/>
          <w:lang w:eastAsia="tr-TR"/>
        </w:rPr>
        <w:t xml:space="preserve"> 120. maddesi hükmüne göre </w:t>
      </w:r>
      <w:hyperlink r:id="rId5" w:history="1">
        <w:r w:rsidRPr="00AA0FBC">
          <w:rPr>
            <w:rFonts w:ascii="Times New Roman" w:eastAsia="Times New Roman" w:hAnsi="Times New Roman" w:cs="Times New Roman"/>
            <w:b/>
            <w:bCs/>
            <w:color w:val="1E73BE"/>
            <w:sz w:val="24"/>
            <w:szCs w:val="24"/>
            <w:lang w:eastAsia="tr-TR"/>
          </w:rPr>
          <w:t>1475 sayılı Yasa’nın 14. maddesi</w:t>
        </w:r>
      </w:hyperlink>
      <w:r w:rsidRPr="00AA0FBC">
        <w:rPr>
          <w:rFonts w:ascii="Times New Roman" w:eastAsia="Times New Roman" w:hAnsi="Times New Roman" w:cs="Times New Roman"/>
          <w:color w:val="2D2D2D"/>
          <w:sz w:val="24"/>
          <w:szCs w:val="24"/>
          <w:lang w:eastAsia="tr-TR"/>
        </w:rPr>
        <w:t> halen yürürlükte olduğundan, kıdem tazminatına hak kazanma ve hesap yöntemi bakımından işyeri devirlerinde belirtilen hüküm uygulanmalıdır. Anılan hükme göre, işyerlerinin devir veya intikali yahut herhangi bir suretle bir işverenden başka bir işverene geçmesi veya başka bir yere nakli halinde işçinin kıdemi, işyeri veya işyerlerindeki hizmet akitleri sürelerinin toplamı üzerinden hesaplanmalıdır. Bununla birlikte, işyerini devreden işverenlerin bu sorumlulukları, işçiyi çalıştırdıkları sürelerle ve devir esnasındaki işçinin aldığı ücret seviyesiyle sınırlıdır.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İşyerini miras yoluyla intikali de, </w:t>
      </w:r>
      <w:hyperlink r:id="rId6" w:history="1">
        <w:r w:rsidRPr="00AA0FBC">
          <w:rPr>
            <w:rFonts w:ascii="Times New Roman" w:eastAsia="Times New Roman" w:hAnsi="Times New Roman" w:cs="Times New Roman"/>
            <w:b/>
            <w:bCs/>
            <w:color w:val="1E73BE"/>
            <w:sz w:val="24"/>
            <w:szCs w:val="24"/>
            <w:lang w:eastAsia="tr-TR"/>
          </w:rPr>
          <w:t>4721 sayılı Türk Medeni Kanunu</w:t>
        </w:r>
      </w:hyperlink>
      <w:r w:rsidRPr="00AA0FBC">
        <w:rPr>
          <w:rFonts w:ascii="Times New Roman" w:eastAsia="Times New Roman" w:hAnsi="Times New Roman" w:cs="Times New Roman"/>
          <w:color w:val="2D2D2D"/>
          <w:sz w:val="24"/>
          <w:szCs w:val="24"/>
          <w:lang w:eastAsia="tr-TR"/>
        </w:rPr>
        <w:t>‘</w:t>
      </w:r>
      <w:proofErr w:type="spellStart"/>
      <w:r w:rsidRPr="00AA0FBC">
        <w:rPr>
          <w:rFonts w:ascii="Times New Roman" w:eastAsia="Times New Roman" w:hAnsi="Times New Roman" w:cs="Times New Roman"/>
          <w:color w:val="2D2D2D"/>
          <w:sz w:val="24"/>
          <w:szCs w:val="24"/>
          <w:lang w:eastAsia="tr-TR"/>
        </w:rPr>
        <w:t>nun</w:t>
      </w:r>
      <w:proofErr w:type="spellEnd"/>
      <w:r w:rsidRPr="00AA0FBC">
        <w:rPr>
          <w:rFonts w:ascii="Times New Roman" w:eastAsia="Times New Roman" w:hAnsi="Times New Roman" w:cs="Times New Roman"/>
          <w:color w:val="2D2D2D"/>
          <w:sz w:val="24"/>
          <w:szCs w:val="24"/>
          <w:lang w:eastAsia="tr-TR"/>
        </w:rPr>
        <w:t xml:space="preserve"> 599. maddesinde düzenlenmiş, sözü edilen hükümde mirasçıların </w:t>
      </w:r>
      <w:proofErr w:type="spellStart"/>
      <w:r w:rsidRPr="00AA0FBC">
        <w:rPr>
          <w:rFonts w:ascii="Times New Roman" w:eastAsia="Times New Roman" w:hAnsi="Times New Roman" w:cs="Times New Roman"/>
          <w:color w:val="2D2D2D"/>
          <w:sz w:val="24"/>
          <w:szCs w:val="24"/>
          <w:lang w:eastAsia="tr-TR"/>
        </w:rPr>
        <w:t>mirasbırakanın</w:t>
      </w:r>
      <w:proofErr w:type="spellEnd"/>
      <w:r w:rsidRPr="00AA0FBC">
        <w:rPr>
          <w:rFonts w:ascii="Times New Roman" w:eastAsia="Times New Roman" w:hAnsi="Times New Roman" w:cs="Times New Roman"/>
          <w:color w:val="2D2D2D"/>
          <w:sz w:val="24"/>
          <w:szCs w:val="24"/>
          <w:lang w:eastAsia="tr-TR"/>
        </w:rPr>
        <w:t xml:space="preserve"> ölümü ile mirasa bir bütün olarak hak kazanacakları açıklanmıştır.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lastRenderedPageBreak/>
        <w:t xml:space="preserve">İşyerinin önceleri gerçek kişi ya da kişilerce işletilmesinin ardından şirketleşmeye gidilmesi halinde, bu işlem de bir tür işyeri devridir. Önceki gerçek kişi olan işverenlerin devralan tüzel kişi ortakları olması bu devir ilişkisini ortadan kaldırmamaktadır </w:t>
      </w: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Yargıtay 9.HD. 22.7.2008 gün 2007/ 20491 E, 2008/ 21645 K.</w:t>
      </w: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Aynı şekilde daha önce tüzel kişi şirket olan işverenin işyerini bir gerçek şahsa devretmesi de mümkündür. Devralanın şirketin hissedarlarından biri olması da imkan </w:t>
      </w:r>
      <w:proofErr w:type="gramStart"/>
      <w:r w:rsidRPr="00AA0FBC">
        <w:rPr>
          <w:rFonts w:ascii="Times New Roman" w:eastAsia="Times New Roman" w:hAnsi="Times New Roman" w:cs="Times New Roman"/>
          <w:color w:val="2D2D2D"/>
          <w:sz w:val="24"/>
          <w:szCs w:val="24"/>
          <w:lang w:eastAsia="tr-TR"/>
        </w:rPr>
        <w:t>dahilindedir</w:t>
      </w:r>
      <w:proofErr w:type="gramEnd"/>
      <w:r w:rsidRPr="00AA0FBC">
        <w:rPr>
          <w:rFonts w:ascii="Times New Roman" w:eastAsia="Times New Roman" w:hAnsi="Times New Roman" w:cs="Times New Roman"/>
          <w:color w:val="2D2D2D"/>
          <w:sz w:val="24"/>
          <w:szCs w:val="24"/>
          <w:lang w:eastAsia="tr-TR"/>
        </w:rPr>
        <w:t>.</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Adi ortaklardan bir ya da bazılarının hisselerini devri de sorumlulukların belirlenmesi noktasında işyeri devri olarak işlem görmelidir.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İşyeri devrinin temel ölçütü, ekonomik birliğin kimliğini korunmasıdır. Avrupa Adalet Divanı kararlarına göre, maddi ve maddi olmayan unsurların devredilip devredilmediği ve devir anındaki değeri, işgücünün devri, müşteri çevresinin devri, işyerinde devirden önce ve sonra yürütülen faaliyetlerin benzerlik derecesi, işyerinde faaliyete ara verilmişse bunun süresi, işyeri devrinin </w:t>
      </w:r>
      <w:proofErr w:type="gramStart"/>
      <w:r w:rsidRPr="00AA0FBC">
        <w:rPr>
          <w:rFonts w:ascii="Times New Roman" w:eastAsia="Times New Roman" w:hAnsi="Times New Roman" w:cs="Times New Roman"/>
          <w:color w:val="2D2D2D"/>
          <w:sz w:val="24"/>
          <w:szCs w:val="24"/>
          <w:lang w:eastAsia="tr-TR"/>
        </w:rPr>
        <w:t>kriterleri</w:t>
      </w:r>
      <w:proofErr w:type="gramEnd"/>
      <w:r w:rsidRPr="00AA0FBC">
        <w:rPr>
          <w:rFonts w:ascii="Times New Roman" w:eastAsia="Times New Roman" w:hAnsi="Times New Roman" w:cs="Times New Roman"/>
          <w:color w:val="2D2D2D"/>
          <w:sz w:val="24"/>
          <w:szCs w:val="24"/>
          <w:lang w:eastAsia="tr-TR"/>
        </w:rPr>
        <w:t xml:space="preserve"> arasında kabul edilmektedir(Süzen, v. </w:t>
      </w:r>
      <w:proofErr w:type="spellStart"/>
      <w:r w:rsidRPr="00AA0FBC">
        <w:rPr>
          <w:rFonts w:ascii="Times New Roman" w:eastAsia="Times New Roman" w:hAnsi="Times New Roman" w:cs="Times New Roman"/>
          <w:color w:val="2D2D2D"/>
          <w:sz w:val="24"/>
          <w:szCs w:val="24"/>
          <w:lang w:eastAsia="tr-TR"/>
        </w:rPr>
        <w:t>Zehnacker</w:t>
      </w:r>
      <w:proofErr w:type="spellEnd"/>
      <w:r w:rsidRPr="00AA0FBC">
        <w:rPr>
          <w:rFonts w:ascii="Times New Roman" w:eastAsia="Times New Roman" w:hAnsi="Times New Roman" w:cs="Times New Roman"/>
          <w:color w:val="2D2D2D"/>
          <w:sz w:val="24"/>
          <w:szCs w:val="24"/>
          <w:lang w:eastAsia="tr-TR"/>
        </w:rPr>
        <w:t xml:space="preserve"> </w:t>
      </w:r>
      <w:proofErr w:type="spellStart"/>
      <w:r w:rsidRPr="00AA0FBC">
        <w:rPr>
          <w:rFonts w:ascii="Times New Roman" w:eastAsia="Times New Roman" w:hAnsi="Times New Roman" w:cs="Times New Roman"/>
          <w:color w:val="2D2D2D"/>
          <w:sz w:val="24"/>
          <w:szCs w:val="24"/>
          <w:lang w:eastAsia="tr-TR"/>
        </w:rPr>
        <w:t>Krankenhausservice</w:t>
      </w:r>
      <w:proofErr w:type="spellEnd"/>
      <w:r w:rsidRPr="00AA0FBC">
        <w:rPr>
          <w:rFonts w:ascii="Times New Roman" w:eastAsia="Times New Roman" w:hAnsi="Times New Roman" w:cs="Times New Roman"/>
          <w:color w:val="2D2D2D"/>
          <w:sz w:val="24"/>
          <w:szCs w:val="24"/>
          <w:lang w:eastAsia="tr-TR"/>
        </w:rPr>
        <w:t xml:space="preserve">, </w:t>
      </w:r>
      <w:proofErr w:type="spellStart"/>
      <w:r w:rsidRPr="00AA0FBC">
        <w:rPr>
          <w:rFonts w:ascii="Times New Roman" w:eastAsia="Times New Roman" w:hAnsi="Times New Roman" w:cs="Times New Roman"/>
          <w:color w:val="2D2D2D"/>
          <w:sz w:val="24"/>
          <w:szCs w:val="24"/>
          <w:lang w:eastAsia="tr-TR"/>
        </w:rPr>
        <w:t>Case</w:t>
      </w:r>
      <w:proofErr w:type="spellEnd"/>
      <w:r w:rsidRPr="00AA0FBC">
        <w:rPr>
          <w:rFonts w:ascii="Times New Roman" w:eastAsia="Times New Roman" w:hAnsi="Times New Roman" w:cs="Times New Roman"/>
          <w:color w:val="2D2D2D"/>
          <w:sz w:val="24"/>
          <w:szCs w:val="24"/>
          <w:lang w:eastAsia="tr-TR"/>
        </w:rPr>
        <w:t xml:space="preserve"> 13/95, 1997, ECR I-1259. ; </w:t>
      </w:r>
      <w:proofErr w:type="spellStart"/>
      <w:r w:rsidRPr="00AA0FBC">
        <w:rPr>
          <w:rFonts w:ascii="Times New Roman" w:eastAsia="Times New Roman" w:hAnsi="Times New Roman" w:cs="Times New Roman"/>
          <w:color w:val="2D2D2D"/>
          <w:sz w:val="24"/>
          <w:szCs w:val="24"/>
          <w:lang w:eastAsia="tr-TR"/>
        </w:rPr>
        <w:t>Spijkers</w:t>
      </w:r>
      <w:proofErr w:type="spellEnd"/>
      <w:r w:rsidRPr="00AA0FBC">
        <w:rPr>
          <w:rFonts w:ascii="Times New Roman" w:eastAsia="Times New Roman" w:hAnsi="Times New Roman" w:cs="Times New Roman"/>
          <w:color w:val="2D2D2D"/>
          <w:sz w:val="24"/>
          <w:szCs w:val="24"/>
          <w:lang w:eastAsia="tr-TR"/>
        </w:rPr>
        <w:t xml:space="preserve"> v. </w:t>
      </w:r>
      <w:proofErr w:type="spellStart"/>
      <w:r w:rsidRPr="00AA0FBC">
        <w:rPr>
          <w:rFonts w:ascii="Times New Roman" w:eastAsia="Times New Roman" w:hAnsi="Times New Roman" w:cs="Times New Roman"/>
          <w:color w:val="2D2D2D"/>
          <w:sz w:val="24"/>
          <w:szCs w:val="24"/>
          <w:lang w:eastAsia="tr-TR"/>
        </w:rPr>
        <w:t>Benedik</w:t>
      </w:r>
      <w:proofErr w:type="spellEnd"/>
      <w:r w:rsidRPr="00AA0FBC">
        <w:rPr>
          <w:rFonts w:ascii="Times New Roman" w:eastAsia="Times New Roman" w:hAnsi="Times New Roman" w:cs="Times New Roman"/>
          <w:color w:val="2D2D2D"/>
          <w:sz w:val="24"/>
          <w:szCs w:val="24"/>
          <w:lang w:eastAsia="tr-TR"/>
        </w:rPr>
        <w:t xml:space="preserve">, </w:t>
      </w:r>
      <w:proofErr w:type="spellStart"/>
      <w:r w:rsidRPr="00AA0FBC">
        <w:rPr>
          <w:rFonts w:ascii="Times New Roman" w:eastAsia="Times New Roman" w:hAnsi="Times New Roman" w:cs="Times New Roman"/>
          <w:color w:val="2D2D2D"/>
          <w:sz w:val="24"/>
          <w:szCs w:val="24"/>
          <w:lang w:eastAsia="tr-TR"/>
        </w:rPr>
        <w:t>Case</w:t>
      </w:r>
      <w:proofErr w:type="spellEnd"/>
      <w:r w:rsidRPr="00AA0FBC">
        <w:rPr>
          <w:rFonts w:ascii="Times New Roman" w:eastAsia="Times New Roman" w:hAnsi="Times New Roman" w:cs="Times New Roman"/>
          <w:color w:val="2D2D2D"/>
          <w:sz w:val="24"/>
          <w:szCs w:val="24"/>
          <w:lang w:eastAsia="tr-TR"/>
        </w:rPr>
        <w:t xml:space="preserve"> 24/85, 1986, ECR 1119.)</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Basın İş Kanunu’na tabi işyerleri bakımından, işyerinin belirleyici unsurlarından olan marka, logo ve yayın imtiyaz hakları gibi maddi olmayan unsurların devri de işyeri devri olarak değerlendirilmelidir(Yargıtay 9. HD</w:t>
      </w: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 xml:space="preserve"> 19.1.2010 gün, 2009/42958 E., 2009/354 K).</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Maddi ve maddi olmayan unsurların devri söz konusu olmaksızın da işgücünün önem taşıdığı sektörlerde ekonomik birliğin önemli unsurunu olan işçilerin devri de, işyeri devri olarak işlem görmelidir.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proofErr w:type="gramStart"/>
      <w:r w:rsidRPr="00AA0FBC">
        <w:rPr>
          <w:rFonts w:ascii="Times New Roman" w:eastAsia="Times New Roman" w:hAnsi="Times New Roman" w:cs="Times New Roman"/>
          <w:i/>
          <w:iCs/>
          <w:color w:val="2D2D2D"/>
          <w:sz w:val="24"/>
          <w:szCs w:val="24"/>
          <w:lang w:eastAsia="tr-TR"/>
        </w:rPr>
        <w:t>“Devirden sonra işyerinin ekonomik birliğin kimliğini koruyup korumadığının saptanabilmesi için, işyerinde yürütülen faaliyetin devirden sonra yeni işveren tarafından aynı veya özdeş biçimde sürdürülmesi ölçütü yanında, işyerinin taşınmaz ve taşınır malları ile maddi olmayan varlıkların devredilip devredilmediği, işyerinde çalışan işçilerin sayı ve uzmanlık bakımından çoğunluğunun devredilip devredilmediği, müşteri çevresinin devredilip devredilmediği, devir öncesi ve sonrasındaki faaliyet arasında benzerlik olup olmadığı, devir sebebiyle işyerinde faaliyet askıya alınmışsa askı süresi gibi koşullar da göz önünde tutulmalıdır.”</w:t>
      </w:r>
      <w:proofErr w:type="gramEnd"/>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İş Kanunu’nun 6. maddesinde yazılı olan “hukuki işleme dayalı” ifadesi geniş şekilde değerlendirilmeli, yazılı sözlü bir anlaşma hatta zımni bir anlaşma da yeterli görülmelidir.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İşyeri devri fesih niteliğinde olmadığından, devir sebebiyle feshe bağlı hakların istenmesi mümkün olmaz. Aynı zamanda işyeri devri kural olarak işçiye haklı fesih </w:t>
      </w:r>
      <w:proofErr w:type="gramStart"/>
      <w:r w:rsidRPr="00AA0FBC">
        <w:rPr>
          <w:rFonts w:ascii="Times New Roman" w:eastAsia="Times New Roman" w:hAnsi="Times New Roman" w:cs="Times New Roman"/>
          <w:color w:val="2D2D2D"/>
          <w:sz w:val="24"/>
          <w:szCs w:val="24"/>
          <w:lang w:eastAsia="tr-TR"/>
        </w:rPr>
        <w:t>imkanı</w:t>
      </w:r>
      <w:proofErr w:type="gramEnd"/>
      <w:r w:rsidRPr="00AA0FBC">
        <w:rPr>
          <w:rFonts w:ascii="Times New Roman" w:eastAsia="Times New Roman" w:hAnsi="Times New Roman" w:cs="Times New Roman"/>
          <w:color w:val="2D2D2D"/>
          <w:sz w:val="24"/>
          <w:szCs w:val="24"/>
          <w:lang w:eastAsia="tr-TR"/>
        </w:rPr>
        <w:t xml:space="preserve"> vermez.</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İşyerinin devri işverenin yönetim hakkının son aşaması olup, işyeri devri çalışma koşullarında değişiklik anlamına da gelmez. Dairemizin kökleşmiş kararlarına göre işyeri devri işçiye haklı nedenle fesih hakkı tanımaz. İşyeri devrinin çalışma koşullarım ağırlaştıran bir yönü olup olmadığı belirlenmelidir </w:t>
      </w: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 xml:space="preserve"> Yargıtay 9.HD. 27.10.2008 gün 2008/ 29715 E, 2008/ 28944 K.</w:t>
      </w:r>
      <w:proofErr w:type="gramStart"/>
      <w:r w:rsidRPr="00AA0FBC">
        <w:rPr>
          <w:rFonts w:ascii="Times New Roman" w:eastAsia="Times New Roman" w:hAnsi="Times New Roman" w:cs="Times New Roman"/>
          <w:color w:val="2D2D2D"/>
          <w:sz w:val="24"/>
          <w:szCs w:val="24"/>
          <w:lang w:eastAsia="tr-TR"/>
        </w:rPr>
        <w:t>)</w:t>
      </w:r>
      <w:proofErr w:type="gramEnd"/>
      <w:r w:rsidRPr="00AA0FBC">
        <w:rPr>
          <w:rFonts w:ascii="Times New Roman" w:eastAsia="Times New Roman" w:hAnsi="Times New Roman" w:cs="Times New Roman"/>
          <w:color w:val="2D2D2D"/>
          <w:sz w:val="24"/>
          <w:szCs w:val="24"/>
          <w:lang w:eastAsia="tr-TR"/>
        </w:rPr>
        <w:t>.</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Genel olarak yapılan bu açıklamaların ardından İş Hukukunda işyeri devrinin işçilik alacaklarına etkileri üzerinde ayrıca durulmalıdır. İşyeri devri halinde kıdem tazminatı bakımından devreden işveren kendi dönemi ve devir tarihindeki son ücreti ile sınırlı olmak üzere sorumludur. 1475 sayılı Yasa’nın 14/2. maddesinde devreden işverenin sorumluluğu bakımından bir süre öngörülmediğinden, 4857 sayılı İş Kanunu’nun 6. maddesinde sözü edilen devreden işveren için 2 yıllık süre sınırlaması, kıdem tazminatı bakımından söz konusu olmaz. O halde kıdem tazminatı işyeri devri öncesi ve sonrasında geçen sürenin tamamı için </w:t>
      </w:r>
      <w:r w:rsidRPr="00AA0FBC">
        <w:rPr>
          <w:rFonts w:ascii="Times New Roman" w:eastAsia="Times New Roman" w:hAnsi="Times New Roman" w:cs="Times New Roman"/>
          <w:color w:val="2D2D2D"/>
          <w:sz w:val="24"/>
          <w:szCs w:val="24"/>
          <w:lang w:eastAsia="tr-TR"/>
        </w:rPr>
        <w:lastRenderedPageBreak/>
        <w:t>hesaplanmalı, ancak devreden işveren veya işverenler bakımından kendi dönemleri ve devir tarihindeki ücret ile sınırlı sorumluluk belirlenmelidir.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Feshe bağlı diğer haklar olan ihbar tazminatı ve kullanılmayan izin ücretlerinden sorumluluk ise son işverene ait olmakla devreden işverenin bu işçilik alacaklarından sorumluluğu bulunmamaktadır. Devralan işveren ihbar tazminatı ile kullandırılmayan izin ücretlerinden tek başına sorumludur.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“İşyerinin devredildiği tarihe kadar doğmuş bulunan ücret, fazla çalışma, hafta tatili çalışması, bayram ve genel tatil ücretlerinden 4857 sayılı İş Kanunu’nun 6. maddesi uyarınca devreden işveren ile devralan işveren müştereken </w:t>
      </w:r>
      <w:proofErr w:type="spellStart"/>
      <w:r w:rsidRPr="00AA0FBC">
        <w:rPr>
          <w:rFonts w:ascii="Times New Roman" w:eastAsia="Times New Roman" w:hAnsi="Times New Roman" w:cs="Times New Roman"/>
          <w:color w:val="2D2D2D"/>
          <w:sz w:val="24"/>
          <w:szCs w:val="24"/>
          <w:lang w:eastAsia="tr-TR"/>
        </w:rPr>
        <w:t>müteselsilen</w:t>
      </w:r>
      <w:proofErr w:type="spellEnd"/>
      <w:r w:rsidRPr="00AA0FBC">
        <w:rPr>
          <w:rFonts w:ascii="Times New Roman" w:eastAsia="Times New Roman" w:hAnsi="Times New Roman" w:cs="Times New Roman"/>
          <w:color w:val="2D2D2D"/>
          <w:sz w:val="24"/>
          <w:szCs w:val="24"/>
          <w:lang w:eastAsia="tr-TR"/>
        </w:rPr>
        <w:t xml:space="preserve"> sorumlu olup, devreden açısından bu süre devir tarihinden itibaren iki yıl süreyle sınırlıdır. Devir tarihinden sonraki çalışmalar sebebiyle doğan sözü edilen işçilik alacakları sebebiyle devreden işverenin sorumluluğunun olmadığı açıktır. Bu bakımdan devirden sonraya ait ücret, fazla çalışma, hafta tatili çalışması, bayram ve genel tatil ücreti gibi işçilik alacaklarından devralan işveren tek başına sorumludur.”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Somut uyuşmazlıkta; davacı </w:t>
      </w:r>
      <w:proofErr w:type="gramStart"/>
      <w:r w:rsidRPr="00AA0FBC">
        <w:rPr>
          <w:rFonts w:ascii="Times New Roman" w:eastAsia="Times New Roman" w:hAnsi="Times New Roman" w:cs="Times New Roman"/>
          <w:color w:val="2D2D2D"/>
          <w:sz w:val="24"/>
          <w:szCs w:val="24"/>
          <w:lang w:eastAsia="tr-TR"/>
        </w:rPr>
        <w:t>20/02/2012</w:t>
      </w:r>
      <w:proofErr w:type="gramEnd"/>
      <w:r w:rsidRPr="00AA0FBC">
        <w:rPr>
          <w:rFonts w:ascii="Times New Roman" w:eastAsia="Times New Roman" w:hAnsi="Times New Roman" w:cs="Times New Roman"/>
          <w:color w:val="2D2D2D"/>
          <w:sz w:val="24"/>
          <w:szCs w:val="24"/>
          <w:lang w:eastAsia="tr-TR"/>
        </w:rPr>
        <w:t xml:space="preserve">-15/04/2015 tarihleri arasında davalı işyerinde çalıştığını iddia etmiş, beyan dilekçesinde ise 2012 yılında davalı şirket sahibi </w:t>
      </w:r>
      <w:proofErr w:type="spellStart"/>
      <w:r w:rsidRPr="00AA0FBC">
        <w:rPr>
          <w:rFonts w:ascii="Times New Roman" w:eastAsia="Times New Roman" w:hAnsi="Times New Roman" w:cs="Times New Roman"/>
          <w:color w:val="2D2D2D"/>
          <w:sz w:val="24"/>
          <w:szCs w:val="24"/>
          <w:lang w:eastAsia="tr-TR"/>
        </w:rPr>
        <w:t>Burhanettin</w:t>
      </w:r>
      <w:proofErr w:type="spellEnd"/>
      <w:r w:rsidRPr="00AA0FBC">
        <w:rPr>
          <w:rFonts w:ascii="Times New Roman" w:eastAsia="Times New Roman" w:hAnsi="Times New Roman" w:cs="Times New Roman"/>
          <w:color w:val="2D2D2D"/>
          <w:sz w:val="24"/>
          <w:szCs w:val="24"/>
          <w:lang w:eastAsia="tr-TR"/>
        </w:rPr>
        <w:t xml:space="preserve"> Aksoy’un eşi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adına olan şirkette işe başladığını, bu işyerinin daha sonra tüm alacak ve borçları ile davalı şirkete devredildiğini, işçilerinde aynı mekanda işlerine ara vermeden devam ettiğini, sözleşmelerinin devralan şirket adına yenilendiğini açıklamıştır. Davacı tanığı Yusuf, kendisinin 2010-2013 arası davalı işyerinde çalıştığını, önce patronlarının </w:t>
      </w:r>
      <w:proofErr w:type="spellStart"/>
      <w:r w:rsidRPr="00AA0FBC">
        <w:rPr>
          <w:rFonts w:ascii="Times New Roman" w:eastAsia="Times New Roman" w:hAnsi="Times New Roman" w:cs="Times New Roman"/>
          <w:color w:val="2D2D2D"/>
          <w:sz w:val="24"/>
          <w:szCs w:val="24"/>
          <w:lang w:eastAsia="tr-TR"/>
        </w:rPr>
        <w:t>Burhanettin</w:t>
      </w:r>
      <w:proofErr w:type="spellEnd"/>
      <w:r w:rsidRPr="00AA0FBC">
        <w:rPr>
          <w:rFonts w:ascii="Times New Roman" w:eastAsia="Times New Roman" w:hAnsi="Times New Roman" w:cs="Times New Roman"/>
          <w:color w:val="2D2D2D"/>
          <w:sz w:val="24"/>
          <w:szCs w:val="24"/>
          <w:lang w:eastAsia="tr-TR"/>
        </w:rPr>
        <w:t xml:space="preserve"> Aksoy iken sonra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olduğunu, işyerinin Sakarya Adapazarı Adliye köyü sınırlarında olduğunu beyan etmiştir.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Dosya içeriği Sosyal Güvenlik Kurumu hizmet döküm cetveline göre davacı </w:t>
      </w:r>
      <w:proofErr w:type="gramStart"/>
      <w:r w:rsidRPr="00AA0FBC">
        <w:rPr>
          <w:rFonts w:ascii="Times New Roman" w:eastAsia="Times New Roman" w:hAnsi="Times New Roman" w:cs="Times New Roman"/>
          <w:color w:val="2D2D2D"/>
          <w:sz w:val="24"/>
          <w:szCs w:val="24"/>
          <w:lang w:eastAsia="tr-TR"/>
        </w:rPr>
        <w:t>20/02/2012</w:t>
      </w:r>
      <w:proofErr w:type="gramEnd"/>
      <w:r w:rsidRPr="00AA0FBC">
        <w:rPr>
          <w:rFonts w:ascii="Times New Roman" w:eastAsia="Times New Roman" w:hAnsi="Times New Roman" w:cs="Times New Roman"/>
          <w:color w:val="2D2D2D"/>
          <w:sz w:val="24"/>
          <w:szCs w:val="24"/>
          <w:lang w:eastAsia="tr-TR"/>
        </w:rPr>
        <w:t xml:space="preserve">-12/03/2014 tarihleri arasında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işyerinde 13/04/2014-13/04/2015 tarihleri arasında davalı şirkette çalışmıştır. Sosyal Güvenlik Kurumu giriş bildirgelerine göre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şirketi işyeri adresi Adapazarı/</w:t>
      </w:r>
      <w:proofErr w:type="spellStart"/>
      <w:r w:rsidRPr="00AA0FBC">
        <w:rPr>
          <w:rFonts w:ascii="Times New Roman" w:eastAsia="Times New Roman" w:hAnsi="Times New Roman" w:cs="Times New Roman"/>
          <w:color w:val="2D2D2D"/>
          <w:sz w:val="24"/>
          <w:szCs w:val="24"/>
          <w:lang w:eastAsia="tr-TR"/>
        </w:rPr>
        <w:t>Arifiye</w:t>
      </w:r>
      <w:proofErr w:type="spellEnd"/>
      <w:r w:rsidRPr="00AA0FBC">
        <w:rPr>
          <w:rFonts w:ascii="Times New Roman" w:eastAsia="Times New Roman" w:hAnsi="Times New Roman" w:cs="Times New Roman"/>
          <w:color w:val="2D2D2D"/>
          <w:sz w:val="24"/>
          <w:szCs w:val="24"/>
          <w:lang w:eastAsia="tr-TR"/>
        </w:rPr>
        <w:t xml:space="preserve"> iken davalı şirket işyeri Adliye köyü Meşelik mevki Tırsan fabrika içi Adapazarı adreslidir. Davalı şirketin tescilli adresi de Adapazarı merkezdedir.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proofErr w:type="gramStart"/>
      <w:r w:rsidRPr="00AA0FBC">
        <w:rPr>
          <w:rFonts w:ascii="Times New Roman" w:eastAsia="Times New Roman" w:hAnsi="Times New Roman" w:cs="Times New Roman"/>
          <w:color w:val="2D2D2D"/>
          <w:sz w:val="24"/>
          <w:szCs w:val="24"/>
          <w:lang w:eastAsia="tr-TR"/>
        </w:rPr>
        <w:t xml:space="preserve">Sosyal Güvenlik Kurumu kaydına göre davacının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işyerinden çıkışı sonrası ertesi gün davalı şirkette işe girişi yapılmış olmakla birlikte işyeri adresleri farklı olduğu gibi,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işyerinin davalı şirkete devredildiğine dair davacı tanık beyanı dışında dair bir delil de bulunmadığı halde, davalı şirket ile önceki işveren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arasında organik bağ bulunduğu gerekçesi ile her iki işyerinde geçen çalışmaların birleştirilmesi hatalı olmuştur.</w:t>
      </w:r>
      <w:proofErr w:type="gramEnd"/>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 xml:space="preserve">Davacının önceki işvereni </w:t>
      </w:r>
      <w:proofErr w:type="spellStart"/>
      <w:r w:rsidRPr="00AA0FBC">
        <w:rPr>
          <w:rFonts w:ascii="Times New Roman" w:eastAsia="Times New Roman" w:hAnsi="Times New Roman" w:cs="Times New Roman"/>
          <w:color w:val="2D2D2D"/>
          <w:sz w:val="24"/>
          <w:szCs w:val="24"/>
          <w:lang w:eastAsia="tr-TR"/>
        </w:rPr>
        <w:t>Naziye</w:t>
      </w:r>
      <w:proofErr w:type="spellEnd"/>
      <w:r w:rsidRPr="00AA0FBC">
        <w:rPr>
          <w:rFonts w:ascii="Times New Roman" w:eastAsia="Times New Roman" w:hAnsi="Times New Roman" w:cs="Times New Roman"/>
          <w:color w:val="2D2D2D"/>
          <w:sz w:val="24"/>
          <w:szCs w:val="24"/>
          <w:lang w:eastAsia="tr-TR"/>
        </w:rPr>
        <w:t xml:space="preserve"> Aksoy ile davalı şirketin Sosyal Güvenlik Kurumu, vergi dairesi, ticaret sicil kayıtları dosyaya kazandırılmalı, dosya kapsamı delillere göre her iki işyeri arasında işyeri devri </w:t>
      </w:r>
      <w:proofErr w:type="gramStart"/>
      <w:r w:rsidRPr="00AA0FBC">
        <w:rPr>
          <w:rFonts w:ascii="Times New Roman" w:eastAsia="Times New Roman" w:hAnsi="Times New Roman" w:cs="Times New Roman"/>
          <w:color w:val="2D2D2D"/>
          <w:sz w:val="24"/>
          <w:szCs w:val="24"/>
          <w:lang w:eastAsia="tr-TR"/>
        </w:rPr>
        <w:t>yada</w:t>
      </w:r>
      <w:proofErr w:type="gramEnd"/>
      <w:r w:rsidRPr="00AA0FBC">
        <w:rPr>
          <w:rFonts w:ascii="Times New Roman" w:eastAsia="Times New Roman" w:hAnsi="Times New Roman" w:cs="Times New Roman"/>
          <w:color w:val="2D2D2D"/>
          <w:sz w:val="24"/>
          <w:szCs w:val="24"/>
          <w:lang w:eastAsia="tr-TR"/>
        </w:rPr>
        <w:t xml:space="preserve"> hukuki bağ bulunup bulunmadığı değerlendirilmeli, elde edilecek sonuca göre davacının çalışma süresi belirlenerek talep konusu alacaklar hesaplanıp hüküm altına alınmalıdır.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color w:val="2D2D2D"/>
          <w:sz w:val="24"/>
          <w:szCs w:val="24"/>
          <w:lang w:eastAsia="tr-TR"/>
        </w:rPr>
        <w:t>Mahkemece belirtilen hususlar gözetilmeden yanılgılı değerlendirme ile verilen karar hatalı olup bozmayı gerektirmiştir.</w:t>
      </w:r>
    </w:p>
    <w:p w:rsidR="00AA0FBC" w:rsidRPr="00AA0FBC" w:rsidRDefault="00AA0FBC" w:rsidP="00AA0FBC">
      <w:pPr>
        <w:spacing w:after="197" w:line="240" w:lineRule="auto"/>
        <w:jc w:val="both"/>
        <w:rPr>
          <w:rFonts w:ascii="Times New Roman" w:eastAsia="Times New Roman" w:hAnsi="Times New Roman" w:cs="Times New Roman"/>
          <w:color w:val="2D2D2D"/>
          <w:sz w:val="24"/>
          <w:szCs w:val="24"/>
          <w:lang w:eastAsia="tr-TR"/>
        </w:rPr>
      </w:pPr>
      <w:r w:rsidRPr="00AA0FBC">
        <w:rPr>
          <w:rFonts w:ascii="Times New Roman" w:eastAsia="Times New Roman" w:hAnsi="Times New Roman" w:cs="Times New Roman"/>
          <w:b/>
          <w:bCs/>
          <w:color w:val="2D2D2D"/>
          <w:sz w:val="24"/>
          <w:szCs w:val="24"/>
          <w:lang w:eastAsia="tr-TR"/>
        </w:rPr>
        <w:t>SONUÇ:</w:t>
      </w:r>
      <w:r w:rsidRPr="00AA0FBC">
        <w:rPr>
          <w:rFonts w:ascii="Times New Roman" w:eastAsia="Times New Roman" w:hAnsi="Times New Roman" w:cs="Times New Roman"/>
          <w:color w:val="2D2D2D"/>
          <w:sz w:val="24"/>
          <w:szCs w:val="24"/>
          <w:lang w:eastAsia="tr-TR"/>
        </w:rPr>
        <w:t xml:space="preserve"> Temyiz olunan kararın yukarıda yazılı nedenlerle BOZULMASINA, peşin alınan temyiz harcının istek halinde ilgililere iadesine </w:t>
      </w:r>
      <w:proofErr w:type="gramStart"/>
      <w:r w:rsidRPr="00AA0FBC">
        <w:rPr>
          <w:rFonts w:ascii="Times New Roman" w:eastAsia="Times New Roman" w:hAnsi="Times New Roman" w:cs="Times New Roman"/>
          <w:color w:val="2D2D2D"/>
          <w:sz w:val="24"/>
          <w:szCs w:val="24"/>
          <w:lang w:eastAsia="tr-TR"/>
        </w:rPr>
        <w:t>15/09/2020</w:t>
      </w:r>
      <w:proofErr w:type="gramEnd"/>
      <w:r w:rsidRPr="00AA0FBC">
        <w:rPr>
          <w:rFonts w:ascii="Times New Roman" w:eastAsia="Times New Roman" w:hAnsi="Times New Roman" w:cs="Times New Roman"/>
          <w:color w:val="2D2D2D"/>
          <w:sz w:val="24"/>
          <w:szCs w:val="24"/>
          <w:lang w:eastAsia="tr-TR"/>
        </w:rPr>
        <w:t xml:space="preserve"> tarihinde oybirliği ile karar verildi.</w:t>
      </w:r>
    </w:p>
    <w:p w:rsidR="00231A6F" w:rsidRPr="00AA0FBC" w:rsidRDefault="00231A6F">
      <w:pPr>
        <w:rPr>
          <w:rFonts w:ascii="Times New Roman" w:hAnsi="Times New Roman" w:cs="Times New Roman"/>
          <w:sz w:val="24"/>
          <w:szCs w:val="24"/>
        </w:rPr>
      </w:pPr>
    </w:p>
    <w:sectPr w:rsidR="00231A6F" w:rsidRPr="00AA0FBC" w:rsidSect="00231A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AA0FBC"/>
    <w:rsid w:val="00231A6F"/>
    <w:rsid w:val="007D00CB"/>
    <w:rsid w:val="00AA0F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6F"/>
  </w:style>
  <w:style w:type="paragraph" w:styleId="Balk1">
    <w:name w:val="heading 1"/>
    <w:basedOn w:val="Normal"/>
    <w:link w:val="Balk1Char"/>
    <w:uiPriority w:val="9"/>
    <w:qFormat/>
    <w:rsid w:val="00AA0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FB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A0FBC"/>
    <w:rPr>
      <w:color w:val="0000FF"/>
      <w:u w:val="single"/>
    </w:rPr>
  </w:style>
  <w:style w:type="paragraph" w:styleId="NormalWeb">
    <w:name w:val="Normal (Web)"/>
    <w:basedOn w:val="Normal"/>
    <w:uiPriority w:val="99"/>
    <w:semiHidden/>
    <w:unhideWhenUsed/>
    <w:rsid w:val="00AA0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0FBC"/>
    <w:rPr>
      <w:b/>
      <w:bCs/>
    </w:rPr>
  </w:style>
  <w:style w:type="character" w:styleId="Vurgu">
    <w:name w:val="Emphasis"/>
    <w:basedOn w:val="VarsaylanParagrafYazTipi"/>
    <w:uiPriority w:val="20"/>
    <w:qFormat/>
    <w:rsid w:val="00AA0FBC"/>
    <w:rPr>
      <w:i/>
      <w:iCs/>
    </w:rPr>
  </w:style>
  <w:style w:type="paragraph" w:styleId="BalonMetni">
    <w:name w:val="Balloon Text"/>
    <w:basedOn w:val="Normal"/>
    <w:link w:val="BalonMetniChar"/>
    <w:uiPriority w:val="99"/>
    <w:semiHidden/>
    <w:unhideWhenUsed/>
    <w:rsid w:val="00AA0F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FBC"/>
    <w:rPr>
      <w:rFonts w:ascii="Tahoma" w:hAnsi="Tahoma" w:cs="Tahoma"/>
      <w:sz w:val="16"/>
      <w:szCs w:val="16"/>
    </w:rPr>
  </w:style>
  <w:style w:type="paragraph" w:styleId="AralkYok">
    <w:name w:val="No Spacing"/>
    <w:uiPriority w:val="1"/>
    <w:qFormat/>
    <w:rsid w:val="00AA0F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9489107">
      <w:bodyDiv w:val="1"/>
      <w:marLeft w:val="0"/>
      <w:marRight w:val="0"/>
      <w:marTop w:val="0"/>
      <w:marBottom w:val="0"/>
      <w:divBdr>
        <w:top w:val="none" w:sz="0" w:space="0" w:color="auto"/>
        <w:left w:val="none" w:sz="0" w:space="0" w:color="auto"/>
        <w:bottom w:val="none" w:sz="0" w:space="0" w:color="auto"/>
        <w:right w:val="none" w:sz="0" w:space="0" w:color="auto"/>
      </w:divBdr>
      <w:divsChild>
        <w:div w:id="669143393">
          <w:marLeft w:val="0"/>
          <w:marRight w:val="0"/>
          <w:marTop w:val="0"/>
          <w:marBottom w:val="158"/>
          <w:divBdr>
            <w:top w:val="none" w:sz="0" w:space="0" w:color="auto"/>
            <w:left w:val="none" w:sz="0" w:space="0" w:color="auto"/>
            <w:bottom w:val="single" w:sz="4" w:space="3" w:color="EAEAEA"/>
            <w:right w:val="none" w:sz="0" w:space="0" w:color="auto"/>
          </w:divBdr>
          <w:divsChild>
            <w:div w:id="1787851812">
              <w:marLeft w:val="0"/>
              <w:marRight w:val="0"/>
              <w:marTop w:val="0"/>
              <w:marBottom w:val="0"/>
              <w:divBdr>
                <w:top w:val="none" w:sz="0" w:space="0" w:color="auto"/>
                <w:left w:val="none" w:sz="0" w:space="0" w:color="auto"/>
                <w:bottom w:val="none" w:sz="0" w:space="0" w:color="auto"/>
                <w:right w:val="none" w:sz="0" w:space="0" w:color="auto"/>
              </w:divBdr>
            </w:div>
          </w:divsChild>
        </w:div>
        <w:div w:id="99884490">
          <w:marLeft w:val="0"/>
          <w:marRight w:val="0"/>
          <w:marTop w:val="0"/>
          <w:marBottom w:val="0"/>
          <w:divBdr>
            <w:top w:val="none" w:sz="0" w:space="0" w:color="auto"/>
            <w:left w:val="none" w:sz="0" w:space="0" w:color="auto"/>
            <w:bottom w:val="none" w:sz="0" w:space="0" w:color="auto"/>
            <w:right w:val="none" w:sz="0" w:space="0" w:color="auto"/>
          </w:divBdr>
          <w:divsChild>
            <w:div w:id="62803339">
              <w:marLeft w:val="0"/>
              <w:marRight w:val="0"/>
              <w:marTop w:val="0"/>
              <w:marBottom w:val="214"/>
              <w:divBdr>
                <w:top w:val="single" w:sz="4" w:space="12" w:color="FBC7C5"/>
                <w:left w:val="single" w:sz="4" w:space="31" w:color="FBC7C5"/>
                <w:bottom w:val="single" w:sz="4" w:space="12" w:color="FBC7C5"/>
                <w:right w:val="single" w:sz="4" w:space="12" w:color="FBC7C5"/>
              </w:divBdr>
            </w:div>
            <w:div w:id="437992375">
              <w:marLeft w:val="0"/>
              <w:marRight w:val="0"/>
              <w:marTop w:val="0"/>
              <w:marBottom w:val="197"/>
              <w:divBdr>
                <w:top w:val="none" w:sz="0" w:space="0" w:color="auto"/>
                <w:left w:val="none" w:sz="0" w:space="0" w:color="auto"/>
                <w:bottom w:val="none" w:sz="0" w:space="0" w:color="auto"/>
                <w:right w:val="none" w:sz="0" w:space="0" w:color="auto"/>
              </w:divBdr>
              <w:divsChild>
                <w:div w:id="948854751">
                  <w:marLeft w:val="0"/>
                  <w:marRight w:val="0"/>
                  <w:marTop w:val="0"/>
                  <w:marBottom w:val="0"/>
                  <w:divBdr>
                    <w:top w:val="none" w:sz="0" w:space="0" w:color="auto"/>
                    <w:left w:val="none" w:sz="0" w:space="0" w:color="auto"/>
                    <w:bottom w:val="none" w:sz="0" w:space="0" w:color="auto"/>
                    <w:right w:val="none" w:sz="0" w:space="0" w:color="auto"/>
                  </w:divBdr>
                  <w:divsChild>
                    <w:div w:id="499465385">
                      <w:marLeft w:val="0"/>
                      <w:marRight w:val="0"/>
                      <w:marTop w:val="100"/>
                      <w:marBottom w:val="138"/>
                      <w:divBdr>
                        <w:top w:val="none" w:sz="0" w:space="0" w:color="auto"/>
                        <w:left w:val="none" w:sz="0" w:space="0" w:color="auto"/>
                        <w:bottom w:val="none" w:sz="0" w:space="0" w:color="auto"/>
                        <w:right w:val="none" w:sz="0" w:space="0" w:color="auto"/>
                      </w:divBdr>
                      <w:divsChild>
                        <w:div w:id="15537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maliye.com/2001/12/08/turk-medeni-kanunu-4721-sayili-kanun/" TargetMode="External"/><Relationship Id="rId5" Type="http://schemas.openxmlformats.org/officeDocument/2006/relationships/hyperlink" Target="https://www.alomaliye.com/2003/05/21/1475-sayili-kanunun-14-maddesi/" TargetMode="External"/><Relationship Id="rId4" Type="http://schemas.openxmlformats.org/officeDocument/2006/relationships/hyperlink" Target="https://www.alomaliye.com/2003/06/10/is-kanunu-4857-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2021-10-05T09:11:00Z</dcterms:created>
  <dcterms:modified xsi:type="dcterms:W3CDTF">2021-10-05T09:13:00Z</dcterms:modified>
</cp:coreProperties>
</file>