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9162"/>
      </w:tblGrid>
      <w:tr w:rsidR="00DD42D1" w:rsidRPr="00DD42D1" w:rsidTr="00DD42D1">
        <w:trPr>
          <w:tblCellSpacing w:w="15" w:type="dxa"/>
        </w:trPr>
        <w:tc>
          <w:tcPr>
            <w:tcW w:w="0" w:type="auto"/>
            <w:shd w:val="clear" w:color="auto" w:fill="FFFFFF"/>
            <w:tcMar>
              <w:top w:w="15" w:type="dxa"/>
              <w:left w:w="15" w:type="dxa"/>
              <w:bottom w:w="79" w:type="dxa"/>
              <w:right w:w="15" w:type="dxa"/>
            </w:tcMar>
            <w:vAlign w:val="center"/>
            <w:hideMark/>
          </w:tcPr>
          <w:p w:rsidR="00DD42D1" w:rsidRPr="00DD42D1" w:rsidRDefault="00DD42D1" w:rsidP="00DD42D1">
            <w:pPr>
              <w:spacing w:after="0" w:line="240" w:lineRule="auto"/>
              <w:jc w:val="center"/>
              <w:rPr>
                <w:rFonts w:ascii="Calibri" w:eastAsia="Times New Roman" w:hAnsi="Calibri" w:cs="Calibri"/>
                <w:color w:val="000000"/>
                <w:lang w:eastAsia="tr-TR"/>
              </w:rPr>
            </w:pPr>
            <w:r w:rsidRPr="00DD42D1">
              <w:rPr>
                <w:rFonts w:ascii="Calibri" w:eastAsia="Times New Roman" w:hAnsi="Calibri" w:cs="Calibri"/>
                <w:b/>
                <w:bCs/>
                <w:color w:val="000000"/>
                <w:sz w:val="25"/>
                <w:szCs w:val="25"/>
                <w:lang w:eastAsia="tr-TR"/>
              </w:rPr>
              <w:t>İstihdam Teşvikleri</w:t>
            </w:r>
            <w:r w:rsidRPr="00DD42D1">
              <w:rPr>
                <w:rFonts w:ascii="Calibri" w:eastAsia="Times New Roman" w:hAnsi="Calibri" w:cs="Calibri"/>
                <w:color w:val="000000"/>
                <w:lang w:eastAsia="tr-TR"/>
              </w:rPr>
              <w:br/>
              <w:t>18 Mart 2021 Perşembe</w:t>
            </w:r>
          </w:p>
        </w:tc>
      </w:tr>
      <w:tr w:rsidR="00DD42D1" w:rsidRPr="00DD42D1" w:rsidTr="00DD42D1">
        <w:trPr>
          <w:tblCellSpacing w:w="15" w:type="dxa"/>
        </w:trPr>
        <w:tc>
          <w:tcPr>
            <w:tcW w:w="0" w:type="auto"/>
            <w:shd w:val="clear" w:color="auto" w:fill="FFFFFF"/>
            <w:vAlign w:val="center"/>
            <w:hideMark/>
          </w:tcPr>
          <w:p w:rsidR="00DD42D1" w:rsidRPr="00DD42D1" w:rsidRDefault="00DD42D1" w:rsidP="00DD42D1">
            <w:pPr>
              <w:spacing w:after="0" w:line="240" w:lineRule="auto"/>
              <w:jc w:val="both"/>
              <w:rPr>
                <w:rFonts w:ascii="Calibri" w:eastAsia="Times New Roman" w:hAnsi="Calibri" w:cs="Calibri"/>
                <w:color w:val="000000"/>
                <w:lang w:eastAsia="tr-TR"/>
              </w:rPr>
            </w:pPr>
          </w:p>
        </w:tc>
      </w:tr>
      <w:tr w:rsidR="00DD42D1" w:rsidRPr="00DD42D1" w:rsidTr="00DD42D1">
        <w:trPr>
          <w:tblCellSpacing w:w="15" w:type="dxa"/>
        </w:trPr>
        <w:tc>
          <w:tcPr>
            <w:tcW w:w="0" w:type="auto"/>
            <w:shd w:val="clear" w:color="auto" w:fill="FFFFFF"/>
            <w:vAlign w:val="center"/>
            <w:hideMark/>
          </w:tcPr>
          <w:p w:rsidR="00DD42D1" w:rsidRPr="00DD42D1" w:rsidRDefault="00DD42D1" w:rsidP="00DD42D1">
            <w:pPr>
              <w:spacing w:before="100" w:beforeAutospacing="1" w:after="100" w:afterAutospacing="1" w:line="240" w:lineRule="auto"/>
              <w:jc w:val="both"/>
              <w:rPr>
                <w:rFonts w:ascii="Calibri" w:eastAsia="Times New Roman" w:hAnsi="Calibri" w:cs="Calibri"/>
                <w:color w:val="474A4D"/>
                <w:lang w:eastAsia="tr-TR"/>
              </w:rPr>
            </w:pPr>
            <w:r w:rsidRPr="00DD42D1">
              <w:rPr>
                <w:rFonts w:ascii="Calibri" w:eastAsia="Times New Roman" w:hAnsi="Calibri" w:cs="Calibri"/>
                <w:color w:val="474A4D"/>
                <w:lang w:eastAsia="tr-TR"/>
              </w:rPr>
              <w:t> </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Sayın Üyemiz, </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Türkiye Odalar ve Borsalar Birliği’nden aldığımız yazıya istinaden, </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7256 Sayılı Bazı Alacakların Yeniden Yapılandırılması ile Bazı Kanunlarda Değişiklik Yapılması Hakkında Kanun ile 4447 Sayılı Kanun’a eklenen maddeler ile yeni istihdam teşviklerinin getirilmiş olduğu ve mevcut maddelere yapılan düzenlemeler ile bir kısım istihdam teşviklerinin süresinin uzatıldığı bildirilmektedir.</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Buna göre ülkemizde uygulaması devam eden;</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5510 Sayılı Sosyal Sigortalar ve Genel Sağlık Sigortası Kanununda 7,</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4447 Sayılı İşsizlik Sigortası Kanununda 8,</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4857 Sayılı İş Kanununda 1,</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5746 Sayılı Araştırma, Geliştirme ve Tasarım Faaliyetlerinin Desteklenmesi Hakkındaki Kanunda 1,</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5225 Sayılı Kültür Yatırımları ve Girişimleri Teşvik Kanununda 1,</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2828 Sosyal Hizmetler Kanununda 1,</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3294 Sayılı Sosyal Yardımlaşma ve Dayanışmayı Teşvik Kanununda 1,</w:t>
            </w:r>
          </w:p>
          <w:p w:rsidR="00DD42D1" w:rsidRPr="00DD42D1" w:rsidRDefault="00DD42D1" w:rsidP="00DD42D1">
            <w:pPr>
              <w:numPr>
                <w:ilvl w:val="0"/>
                <w:numId w:val="1"/>
              </w:numPr>
              <w:spacing w:before="100" w:beforeAutospacing="1" w:after="100" w:afterAutospacing="1" w:line="240" w:lineRule="auto"/>
              <w:jc w:val="both"/>
              <w:rPr>
                <w:rFonts w:ascii="Calibri" w:eastAsia="Times New Roman" w:hAnsi="Calibri" w:cs="Calibri"/>
                <w:color w:val="000000"/>
                <w:lang w:eastAsia="tr-TR"/>
              </w:rPr>
            </w:pPr>
            <w:r w:rsidRPr="00DD42D1">
              <w:rPr>
                <w:rFonts w:ascii="Cambria" w:eastAsia="Times New Roman" w:hAnsi="Cambria" w:cs="Calibri"/>
                <w:color w:val="000000"/>
                <w:lang w:eastAsia="tr-TR"/>
              </w:rPr>
              <w:t>6331 Sayılı İş Sağlığı ve Güvenliği Kanununda 1,</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Olmak üzere toplamda 21 prim, teşvik, destek ve indirim uygulamasının bulunduğu belirtilmektedir.</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Söz konusu teşvik, destek ve indirim uygulamalarının yasal dayanaklarına, açıklamalarına, başlangıç ve bitiş tarihlerine, yararlanma şartlarına ve teşvik tutarlarına ekte yer alan, SGK tarafından hazırlanan sunum aracılığı ile ulaşabilirsiniz.</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Bilgilerinize sunar, iyi çalışmalar dileriz. </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Saygılarımızla,</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Pr>
                <w:rFonts w:ascii="Cambria" w:eastAsia="Times New Roman" w:hAnsi="Cambria" w:cs="Times New Roman"/>
                <w:color w:val="474A4D"/>
                <w:lang w:eastAsia="tr-TR"/>
              </w:rPr>
              <w:t>İSTEKS SANAYİ SİTESİ YÖNETİMİ</w:t>
            </w:r>
          </w:p>
          <w:p w:rsidR="00DD42D1" w:rsidRPr="00DD42D1" w:rsidRDefault="00DD42D1" w:rsidP="00DD42D1">
            <w:pPr>
              <w:spacing w:before="100" w:beforeAutospacing="1" w:after="100" w:afterAutospacing="1" w:line="240" w:lineRule="auto"/>
              <w:jc w:val="both"/>
              <w:rPr>
                <w:rFonts w:ascii="Times New Roman" w:eastAsia="Times New Roman" w:hAnsi="Times New Roman" w:cs="Times New Roman"/>
                <w:color w:val="474A4D"/>
                <w:lang w:eastAsia="tr-TR"/>
              </w:rPr>
            </w:pPr>
            <w:r w:rsidRPr="00DD42D1">
              <w:rPr>
                <w:rFonts w:ascii="Cambria" w:eastAsia="Times New Roman" w:hAnsi="Cambria" w:cs="Times New Roman"/>
                <w:color w:val="474A4D"/>
                <w:lang w:eastAsia="tr-TR"/>
              </w:rPr>
              <w:t>Ek: Sunum için </w:t>
            </w:r>
            <w:hyperlink r:id="rId5" w:history="1">
              <w:r w:rsidRPr="00DD42D1">
                <w:rPr>
                  <w:rFonts w:ascii="Cambria" w:eastAsia="Times New Roman" w:hAnsi="Cambria" w:cs="Times New Roman"/>
                  <w:color w:val="000000"/>
                  <w:lang w:eastAsia="tr-TR"/>
                </w:rPr>
                <w:t>tıklayınız</w:t>
              </w:r>
              <w:r w:rsidRPr="00DD42D1">
                <w:rPr>
                  <w:rFonts w:ascii="Cambria" w:eastAsia="Times New Roman" w:hAnsi="Cambria" w:cs="Times New Roman"/>
                  <w:color w:val="000000"/>
                  <w:lang w:eastAsia="tr-TR"/>
                </w:rPr>
                <w:t>.</w:t>
              </w:r>
            </w:hyperlink>
          </w:p>
        </w:tc>
      </w:tr>
    </w:tbl>
    <w:p w:rsidR="00317E76" w:rsidRDefault="00317E76"/>
    <w:sectPr w:rsidR="00317E76" w:rsidSect="00317E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34A3"/>
    <w:multiLevelType w:val="multilevel"/>
    <w:tmpl w:val="0AE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DD42D1"/>
    <w:rsid w:val="00317E76"/>
    <w:rsid w:val="00DD42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42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42D1"/>
    <w:rPr>
      <w:color w:val="0000FF"/>
      <w:u w:val="single"/>
    </w:rPr>
  </w:style>
</w:styles>
</file>

<file path=word/webSettings.xml><?xml version="1.0" encoding="utf-8"?>
<w:webSettings xmlns:r="http://schemas.openxmlformats.org/officeDocument/2006/relationships" xmlns:w="http://schemas.openxmlformats.org/wordprocessingml/2006/main">
  <w:divs>
    <w:div w:id="2904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gk.gov.tr/wps/wcm/connect/61cf0852-fe86-4495-ab91-5bdacec8f74f/sunum_tesvikler_25022021.pdf?MOD=AJPERE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2022-01-14T10:24:00Z</dcterms:created>
  <dcterms:modified xsi:type="dcterms:W3CDTF">2022-01-14T10:26:00Z</dcterms:modified>
</cp:coreProperties>
</file>