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2DC" w:rsidRPr="00DA529D" w:rsidRDefault="000F72DC" w:rsidP="000F72DC">
      <w:pPr>
        <w:shd w:val="clear" w:color="auto" w:fill="FFFFFF"/>
        <w:spacing w:after="300" w:line="240" w:lineRule="auto"/>
        <w:outlineLvl w:val="1"/>
        <w:rPr>
          <w:rFonts w:ascii="Arial" w:eastAsia="Times New Roman" w:hAnsi="Arial" w:cs="Arial"/>
          <w:b/>
          <w:bCs/>
          <w:color w:val="FF0000"/>
          <w:sz w:val="32"/>
          <w:szCs w:val="32"/>
          <w:lang w:eastAsia="tr-TR"/>
        </w:rPr>
      </w:pPr>
      <w:r w:rsidRPr="00DA529D">
        <w:rPr>
          <w:rFonts w:ascii="Arial" w:eastAsia="Times New Roman" w:hAnsi="Arial" w:cs="Arial"/>
          <w:b/>
          <w:bCs/>
          <w:color w:val="FF0000"/>
          <w:sz w:val="32"/>
          <w:szCs w:val="32"/>
          <w:lang w:eastAsia="tr-TR"/>
        </w:rPr>
        <w:t xml:space="preserve">Organize Sanayi Bölgelerinde (OSB) Yer Alan Parsellerin Tamamen veya Kısmen Bedelsiz Olarak Tahsis Edilmesi </w:t>
      </w:r>
      <w:proofErr w:type="spellStart"/>
      <w:r w:rsidRPr="00DA529D">
        <w:rPr>
          <w:rFonts w:ascii="Arial" w:eastAsia="Times New Roman" w:hAnsi="Arial" w:cs="Arial"/>
          <w:b/>
          <w:bCs/>
          <w:color w:val="FF0000"/>
          <w:sz w:val="32"/>
          <w:szCs w:val="32"/>
          <w:lang w:eastAsia="tr-TR"/>
        </w:rPr>
        <w:t>Hk</w:t>
      </w:r>
      <w:proofErr w:type="spellEnd"/>
      <w:r w:rsidRPr="00DA529D">
        <w:rPr>
          <w:rFonts w:ascii="Arial" w:eastAsia="Times New Roman" w:hAnsi="Arial" w:cs="Arial"/>
          <w:b/>
          <w:bCs/>
          <w:color w:val="FF0000"/>
          <w:sz w:val="32"/>
          <w:szCs w:val="32"/>
          <w:lang w:eastAsia="tr-TR"/>
        </w:rPr>
        <w:t>.</w:t>
      </w:r>
    </w:p>
    <w:p w:rsidR="000F72DC" w:rsidRPr="000F72DC" w:rsidRDefault="000F72DC" w:rsidP="000F72DC">
      <w:pPr>
        <w:shd w:val="clear" w:color="auto" w:fill="FFFFFF"/>
        <w:spacing w:after="300" w:line="240" w:lineRule="auto"/>
        <w:jc w:val="both"/>
        <w:rPr>
          <w:rFonts w:ascii="Arial" w:eastAsia="Times New Roman" w:hAnsi="Arial" w:cs="Arial"/>
          <w:color w:val="212529"/>
          <w:sz w:val="27"/>
          <w:szCs w:val="27"/>
          <w:lang w:eastAsia="tr-TR"/>
        </w:rPr>
      </w:pPr>
      <w:r w:rsidRPr="000F72DC">
        <w:rPr>
          <w:rFonts w:ascii="Arial" w:eastAsia="Times New Roman" w:hAnsi="Arial" w:cs="Arial"/>
          <w:color w:val="212529"/>
          <w:sz w:val="27"/>
          <w:szCs w:val="27"/>
          <w:lang w:eastAsia="tr-TR"/>
        </w:rPr>
        <w:t>Sayın Üyemiz,</w:t>
      </w:r>
    </w:p>
    <w:p w:rsidR="000F72DC" w:rsidRPr="000F72DC" w:rsidRDefault="000F72DC" w:rsidP="000F72DC">
      <w:pPr>
        <w:shd w:val="clear" w:color="auto" w:fill="FFFFFF"/>
        <w:spacing w:after="300" w:line="240" w:lineRule="auto"/>
        <w:jc w:val="both"/>
        <w:rPr>
          <w:rFonts w:ascii="Arial" w:eastAsia="Times New Roman" w:hAnsi="Arial" w:cs="Arial"/>
          <w:color w:val="212529"/>
          <w:sz w:val="27"/>
          <w:szCs w:val="27"/>
          <w:lang w:eastAsia="tr-TR"/>
        </w:rPr>
      </w:pPr>
      <w:r w:rsidRPr="000F72DC">
        <w:rPr>
          <w:rFonts w:ascii="Arial" w:eastAsia="Times New Roman" w:hAnsi="Arial" w:cs="Arial"/>
          <w:color w:val="212529"/>
          <w:sz w:val="27"/>
          <w:szCs w:val="27"/>
          <w:lang w:eastAsia="tr-TR"/>
        </w:rPr>
        <w:t xml:space="preserve">01.06.2021 tarih ve 4051 sayılı Cumhurbaşkanı Kararı ile organize sanayi bölgelerinde (OSB) yer alan parsellerin tamamen veya kısmen bedelsiz olarak tahsis edilmesi ile ilgili uygulama 31 Aralık 2024'e kadar uzatılmıştır. Buna göre OSB'lerdeki yatırımların, üretim ve istihdamın artırılmasının sağlanması amacıyla buralarda yer alan parsellerin tamamen veya kısmen bedelsiz olarak tahsis edilmesine </w:t>
      </w:r>
      <w:proofErr w:type="gramStart"/>
      <w:r w:rsidRPr="000F72DC">
        <w:rPr>
          <w:rFonts w:ascii="Arial" w:eastAsia="Times New Roman" w:hAnsi="Arial" w:cs="Arial"/>
          <w:color w:val="212529"/>
          <w:sz w:val="27"/>
          <w:szCs w:val="27"/>
          <w:lang w:eastAsia="tr-TR"/>
        </w:rPr>
        <w:t>imkan</w:t>
      </w:r>
      <w:proofErr w:type="gramEnd"/>
      <w:r w:rsidRPr="000F72DC">
        <w:rPr>
          <w:rFonts w:ascii="Arial" w:eastAsia="Times New Roman" w:hAnsi="Arial" w:cs="Arial"/>
          <w:color w:val="212529"/>
          <w:sz w:val="27"/>
          <w:szCs w:val="27"/>
          <w:lang w:eastAsia="tr-TR"/>
        </w:rPr>
        <w:t xml:space="preserve"> veren uygulama 31 Aralık 2024'e kadar sürecektir.</w:t>
      </w:r>
    </w:p>
    <w:p w:rsidR="000F72DC" w:rsidRPr="000F72DC" w:rsidRDefault="000F72DC" w:rsidP="000F72DC">
      <w:pPr>
        <w:shd w:val="clear" w:color="auto" w:fill="FFFFFF"/>
        <w:spacing w:after="300" w:line="240" w:lineRule="auto"/>
        <w:jc w:val="both"/>
        <w:rPr>
          <w:rFonts w:ascii="Arial" w:eastAsia="Times New Roman" w:hAnsi="Arial" w:cs="Arial"/>
          <w:color w:val="212529"/>
          <w:sz w:val="27"/>
          <w:szCs w:val="27"/>
          <w:lang w:eastAsia="tr-TR"/>
        </w:rPr>
      </w:pPr>
      <w:r w:rsidRPr="000F72DC">
        <w:rPr>
          <w:rFonts w:ascii="Arial" w:eastAsia="Times New Roman" w:hAnsi="Arial" w:cs="Arial"/>
          <w:color w:val="212529"/>
          <w:sz w:val="27"/>
          <w:szCs w:val="27"/>
          <w:lang w:eastAsia="tr-TR"/>
        </w:rPr>
        <w:t>Karar kapsamında söz konusu uygulamada yapılan değişiklikler ile ilgili olarak aşağıda yer alan hususlar öne çıkmaktadır;</w:t>
      </w:r>
    </w:p>
    <w:p w:rsidR="000F72DC" w:rsidRPr="000F72DC" w:rsidRDefault="000F72DC" w:rsidP="000F72DC">
      <w:pPr>
        <w:shd w:val="clear" w:color="auto" w:fill="FFFFFF"/>
        <w:spacing w:after="300" w:line="240" w:lineRule="auto"/>
        <w:jc w:val="both"/>
        <w:rPr>
          <w:rFonts w:ascii="Arial" w:eastAsia="Times New Roman" w:hAnsi="Arial" w:cs="Arial"/>
          <w:color w:val="212529"/>
          <w:sz w:val="27"/>
          <w:szCs w:val="27"/>
          <w:lang w:eastAsia="tr-TR"/>
        </w:rPr>
      </w:pPr>
      <w:r w:rsidRPr="000F72DC">
        <w:rPr>
          <w:rFonts w:ascii="Arial" w:eastAsia="Times New Roman" w:hAnsi="Arial" w:cs="Arial"/>
          <w:color w:val="212529"/>
          <w:sz w:val="27"/>
          <w:szCs w:val="27"/>
          <w:lang w:eastAsia="tr-TR"/>
        </w:rPr>
        <w:t xml:space="preserve">1-) Bilindiği üzere, </w:t>
      </w:r>
      <w:proofErr w:type="gramStart"/>
      <w:r w:rsidRPr="000F72DC">
        <w:rPr>
          <w:rFonts w:ascii="Arial" w:eastAsia="Times New Roman" w:hAnsi="Arial" w:cs="Arial"/>
          <w:color w:val="212529"/>
          <w:sz w:val="27"/>
          <w:szCs w:val="27"/>
          <w:lang w:eastAsia="tr-TR"/>
        </w:rPr>
        <w:t>halihazırdaki</w:t>
      </w:r>
      <w:proofErr w:type="gramEnd"/>
      <w:r w:rsidRPr="000F72DC">
        <w:rPr>
          <w:rFonts w:ascii="Arial" w:eastAsia="Times New Roman" w:hAnsi="Arial" w:cs="Arial"/>
          <w:color w:val="212529"/>
          <w:sz w:val="27"/>
          <w:szCs w:val="27"/>
          <w:lang w:eastAsia="tr-TR"/>
        </w:rPr>
        <w:t xml:space="preserve"> Cumhurbaşkanlığı Kararına kaynaklık eden 14.05.2018 tarih ve 2018/11773 sayılı Bakanlar Kurulu Kararında; OSB'lerde yer alan parsellerin tamamen veya kısmen bedelsiz olarak tahsis edilmesi hususu ile ilgili olarak, organize sanayi bölgelerinde yer alan parsellerin, ekli listede belirtilen kademelendirme çerçevesinde,</w:t>
      </w:r>
    </w:p>
    <w:p w:rsidR="000F72DC" w:rsidRPr="000F72DC" w:rsidRDefault="000F72DC" w:rsidP="000F72DC">
      <w:pPr>
        <w:numPr>
          <w:ilvl w:val="0"/>
          <w:numId w:val="1"/>
        </w:numPr>
        <w:shd w:val="clear" w:color="auto" w:fill="FFFFFF"/>
        <w:spacing w:after="0" w:line="240" w:lineRule="auto"/>
        <w:ind w:left="0"/>
        <w:jc w:val="both"/>
        <w:rPr>
          <w:rFonts w:ascii="Arial" w:eastAsia="Times New Roman" w:hAnsi="Arial" w:cs="Arial"/>
          <w:color w:val="0D0D0D"/>
          <w:sz w:val="27"/>
          <w:szCs w:val="27"/>
          <w:lang w:eastAsia="tr-TR"/>
        </w:rPr>
      </w:pPr>
      <w:r w:rsidRPr="000F72DC">
        <w:rPr>
          <w:rFonts w:ascii="Arial" w:eastAsia="Times New Roman" w:hAnsi="Arial" w:cs="Arial"/>
          <w:color w:val="0D0D0D"/>
          <w:sz w:val="27"/>
          <w:szCs w:val="27"/>
          <w:lang w:eastAsia="tr-TR"/>
        </w:rPr>
        <w:t> Birinci kademe gelişmiş ilçelerde indirimsiz olduğu,</w:t>
      </w:r>
    </w:p>
    <w:p w:rsidR="000F72DC" w:rsidRPr="000F72DC" w:rsidRDefault="000F72DC" w:rsidP="000F72DC">
      <w:pPr>
        <w:numPr>
          <w:ilvl w:val="0"/>
          <w:numId w:val="1"/>
        </w:numPr>
        <w:shd w:val="clear" w:color="auto" w:fill="FFFFFF"/>
        <w:spacing w:after="0" w:line="240" w:lineRule="auto"/>
        <w:ind w:left="0"/>
        <w:jc w:val="both"/>
        <w:rPr>
          <w:rFonts w:ascii="Arial" w:eastAsia="Times New Roman" w:hAnsi="Arial" w:cs="Arial"/>
          <w:color w:val="0D0D0D"/>
          <w:sz w:val="27"/>
          <w:szCs w:val="27"/>
          <w:lang w:eastAsia="tr-TR"/>
        </w:rPr>
      </w:pPr>
      <w:r w:rsidRPr="000F72DC">
        <w:rPr>
          <w:rFonts w:ascii="Arial" w:eastAsia="Times New Roman" w:hAnsi="Arial" w:cs="Arial"/>
          <w:color w:val="0D0D0D"/>
          <w:sz w:val="27"/>
          <w:szCs w:val="27"/>
          <w:lang w:eastAsia="tr-TR"/>
        </w:rPr>
        <w:t> İkinci kademe gelişmiş ilçelerde %40 indirimli olduğu,</w:t>
      </w:r>
    </w:p>
    <w:p w:rsidR="000F72DC" w:rsidRPr="000F72DC" w:rsidRDefault="000F72DC" w:rsidP="000F72DC">
      <w:pPr>
        <w:numPr>
          <w:ilvl w:val="0"/>
          <w:numId w:val="1"/>
        </w:numPr>
        <w:shd w:val="clear" w:color="auto" w:fill="FFFFFF"/>
        <w:spacing w:after="0" w:line="240" w:lineRule="auto"/>
        <w:ind w:left="0"/>
        <w:jc w:val="both"/>
        <w:rPr>
          <w:rFonts w:ascii="Arial" w:eastAsia="Times New Roman" w:hAnsi="Arial" w:cs="Arial"/>
          <w:color w:val="0D0D0D"/>
          <w:sz w:val="27"/>
          <w:szCs w:val="27"/>
          <w:lang w:eastAsia="tr-TR"/>
        </w:rPr>
      </w:pPr>
      <w:r w:rsidRPr="000F72DC">
        <w:rPr>
          <w:rFonts w:ascii="Arial" w:eastAsia="Times New Roman" w:hAnsi="Arial" w:cs="Arial"/>
          <w:color w:val="0D0D0D"/>
          <w:sz w:val="27"/>
          <w:szCs w:val="27"/>
          <w:lang w:eastAsia="tr-TR"/>
        </w:rPr>
        <w:t> Üçüncü kademe gelişmiş ilçelerde %60 indirimli olduğu,</w:t>
      </w:r>
    </w:p>
    <w:p w:rsidR="000F72DC" w:rsidRPr="000F72DC" w:rsidRDefault="000F72DC" w:rsidP="000F72DC">
      <w:pPr>
        <w:numPr>
          <w:ilvl w:val="0"/>
          <w:numId w:val="1"/>
        </w:numPr>
        <w:shd w:val="clear" w:color="auto" w:fill="FFFFFF"/>
        <w:spacing w:after="0" w:line="240" w:lineRule="auto"/>
        <w:ind w:left="0"/>
        <w:jc w:val="both"/>
        <w:rPr>
          <w:rFonts w:ascii="Arial" w:eastAsia="Times New Roman" w:hAnsi="Arial" w:cs="Arial"/>
          <w:color w:val="0D0D0D"/>
          <w:sz w:val="27"/>
          <w:szCs w:val="27"/>
          <w:lang w:eastAsia="tr-TR"/>
        </w:rPr>
      </w:pPr>
      <w:r w:rsidRPr="000F72DC">
        <w:rPr>
          <w:rFonts w:ascii="Arial" w:eastAsia="Times New Roman" w:hAnsi="Arial" w:cs="Arial"/>
          <w:color w:val="0D0D0D"/>
          <w:sz w:val="27"/>
          <w:szCs w:val="27"/>
          <w:lang w:eastAsia="tr-TR"/>
        </w:rPr>
        <w:t> Beşinci ve altıncı kademe gelişmiş ilçelerde %100 indirimli,</w:t>
      </w:r>
    </w:p>
    <w:p w:rsidR="000F72DC" w:rsidRPr="000F72DC" w:rsidRDefault="000F72DC" w:rsidP="000F72DC">
      <w:pPr>
        <w:shd w:val="clear" w:color="auto" w:fill="FFFFFF"/>
        <w:spacing w:after="300" w:line="240" w:lineRule="auto"/>
        <w:jc w:val="both"/>
        <w:rPr>
          <w:rFonts w:ascii="Arial" w:eastAsia="Times New Roman" w:hAnsi="Arial" w:cs="Arial"/>
          <w:color w:val="212529"/>
          <w:sz w:val="27"/>
          <w:szCs w:val="27"/>
          <w:lang w:eastAsia="tr-TR"/>
        </w:rPr>
      </w:pPr>
      <w:proofErr w:type="gramStart"/>
      <w:r w:rsidRPr="000F72DC">
        <w:rPr>
          <w:rFonts w:ascii="Arial" w:eastAsia="Times New Roman" w:hAnsi="Arial" w:cs="Arial"/>
          <w:color w:val="212529"/>
          <w:sz w:val="27"/>
          <w:szCs w:val="27"/>
          <w:lang w:eastAsia="tr-TR"/>
        </w:rPr>
        <w:t>olarak</w:t>
      </w:r>
      <w:proofErr w:type="gramEnd"/>
      <w:r w:rsidRPr="000F72DC">
        <w:rPr>
          <w:rFonts w:ascii="Arial" w:eastAsia="Times New Roman" w:hAnsi="Arial" w:cs="Arial"/>
          <w:color w:val="212529"/>
          <w:sz w:val="27"/>
          <w:szCs w:val="27"/>
          <w:lang w:eastAsia="tr-TR"/>
        </w:rPr>
        <w:t xml:space="preserve"> tahsis edildiği görülmekte olup, organize sanayi bölgelerinin birden fazla il veya ilçenin sınırları içerisinde yer alması halinde, organize sanayi bölgesinin en fazla alanının olduğu yerin indirim oranının uygulandığı görülmektedir.</w:t>
      </w:r>
    </w:p>
    <w:p w:rsidR="000F72DC" w:rsidRPr="000F72DC" w:rsidRDefault="000F72DC" w:rsidP="000F72DC">
      <w:pPr>
        <w:shd w:val="clear" w:color="auto" w:fill="FFFFFF"/>
        <w:spacing w:after="300" w:line="240" w:lineRule="auto"/>
        <w:jc w:val="both"/>
        <w:rPr>
          <w:rFonts w:ascii="Arial" w:eastAsia="Times New Roman" w:hAnsi="Arial" w:cs="Arial"/>
          <w:color w:val="212529"/>
          <w:sz w:val="27"/>
          <w:szCs w:val="27"/>
          <w:lang w:eastAsia="tr-TR"/>
        </w:rPr>
      </w:pPr>
      <w:r w:rsidRPr="000F72DC">
        <w:rPr>
          <w:rFonts w:ascii="Arial" w:eastAsia="Times New Roman" w:hAnsi="Arial" w:cs="Arial"/>
          <w:color w:val="212529"/>
          <w:sz w:val="27"/>
          <w:szCs w:val="27"/>
          <w:lang w:eastAsia="tr-TR"/>
        </w:rPr>
        <w:t>İlgili karar kapsamında detayların yer aldığı liste ekte ayrıca sunulmaktadır.</w:t>
      </w:r>
    </w:p>
    <w:p w:rsidR="000F72DC" w:rsidRPr="000F72DC" w:rsidRDefault="000F72DC" w:rsidP="000F72DC">
      <w:pPr>
        <w:shd w:val="clear" w:color="auto" w:fill="FFFFFF"/>
        <w:spacing w:after="300" w:line="240" w:lineRule="auto"/>
        <w:jc w:val="both"/>
        <w:rPr>
          <w:rFonts w:ascii="Arial" w:eastAsia="Times New Roman" w:hAnsi="Arial" w:cs="Arial"/>
          <w:color w:val="212529"/>
          <w:sz w:val="27"/>
          <w:szCs w:val="27"/>
          <w:lang w:eastAsia="tr-TR"/>
        </w:rPr>
      </w:pPr>
      <w:r w:rsidRPr="000F72DC">
        <w:rPr>
          <w:rFonts w:ascii="Arial" w:eastAsia="Times New Roman" w:hAnsi="Arial" w:cs="Arial"/>
          <w:color w:val="212529"/>
          <w:sz w:val="27"/>
          <w:szCs w:val="27"/>
          <w:lang w:eastAsia="tr-TR"/>
        </w:rPr>
        <w:t>Yine aynı kararın ''Yürürlük'' kısmı incelendiğinde;</w:t>
      </w:r>
    </w:p>
    <w:p w:rsidR="000F72DC" w:rsidRPr="000F72DC" w:rsidRDefault="000F72DC" w:rsidP="000F72DC">
      <w:pPr>
        <w:shd w:val="clear" w:color="auto" w:fill="FFFFFF"/>
        <w:spacing w:after="300" w:line="240" w:lineRule="auto"/>
        <w:jc w:val="both"/>
        <w:rPr>
          <w:rFonts w:ascii="Arial" w:eastAsia="Times New Roman" w:hAnsi="Arial" w:cs="Arial"/>
          <w:color w:val="212529"/>
          <w:sz w:val="27"/>
          <w:szCs w:val="27"/>
          <w:lang w:eastAsia="tr-TR"/>
        </w:rPr>
      </w:pPr>
      <w:r w:rsidRPr="000F72DC">
        <w:rPr>
          <w:rFonts w:ascii="Arial" w:eastAsia="Times New Roman" w:hAnsi="Arial" w:cs="Arial"/>
          <w:color w:val="212529"/>
          <w:sz w:val="27"/>
          <w:szCs w:val="27"/>
          <w:lang w:eastAsia="tr-TR"/>
        </w:rPr>
        <w:t>- Bu kararın üç yıl süreyle uygulanmak üzere yayımı tarihinde yürürlüğe girdiği,</w:t>
      </w:r>
    </w:p>
    <w:p w:rsidR="000F72DC" w:rsidRPr="000F72DC" w:rsidRDefault="000F72DC" w:rsidP="000F72DC">
      <w:pPr>
        <w:shd w:val="clear" w:color="auto" w:fill="FFFFFF"/>
        <w:spacing w:after="300" w:line="240" w:lineRule="auto"/>
        <w:jc w:val="both"/>
        <w:rPr>
          <w:rFonts w:ascii="Arial" w:eastAsia="Times New Roman" w:hAnsi="Arial" w:cs="Arial"/>
          <w:color w:val="212529"/>
          <w:sz w:val="27"/>
          <w:szCs w:val="27"/>
          <w:lang w:eastAsia="tr-TR"/>
        </w:rPr>
      </w:pPr>
      <w:r w:rsidRPr="000F72DC">
        <w:rPr>
          <w:rFonts w:ascii="Arial" w:eastAsia="Times New Roman" w:hAnsi="Arial" w:cs="Arial"/>
          <w:color w:val="212529"/>
          <w:sz w:val="27"/>
          <w:szCs w:val="27"/>
          <w:lang w:eastAsia="tr-TR"/>
        </w:rPr>
        <w:t>- Bu kararın hükümlerinin Bilim, Sanayi ve Teknoloji Bakanı tarafından yürütüldüğü, görülmektedir.</w:t>
      </w:r>
    </w:p>
    <w:p w:rsidR="000F72DC" w:rsidRPr="000F72DC" w:rsidRDefault="000F72DC" w:rsidP="000F72DC">
      <w:pPr>
        <w:shd w:val="clear" w:color="auto" w:fill="FFFFFF"/>
        <w:spacing w:after="300" w:line="240" w:lineRule="auto"/>
        <w:jc w:val="both"/>
        <w:rPr>
          <w:rFonts w:ascii="Arial" w:eastAsia="Times New Roman" w:hAnsi="Arial" w:cs="Arial"/>
          <w:color w:val="212529"/>
          <w:sz w:val="27"/>
          <w:szCs w:val="27"/>
          <w:lang w:eastAsia="tr-TR"/>
        </w:rPr>
      </w:pPr>
      <w:r w:rsidRPr="000F72DC">
        <w:rPr>
          <w:rFonts w:ascii="Arial" w:eastAsia="Times New Roman" w:hAnsi="Arial" w:cs="Arial"/>
          <w:color w:val="212529"/>
          <w:sz w:val="27"/>
          <w:szCs w:val="27"/>
          <w:lang w:eastAsia="tr-TR"/>
        </w:rPr>
        <w:t>2-) Konu ile ilgili olarak yayımlanan 01.06.2021 tarih ve 4051 sayılı Cumhurbaşkanı Kararında ise mevcut uygulama kapsamında;</w:t>
      </w:r>
    </w:p>
    <w:p w:rsidR="000F72DC" w:rsidRPr="000F72DC" w:rsidRDefault="000F72DC" w:rsidP="000F72DC">
      <w:pPr>
        <w:shd w:val="clear" w:color="auto" w:fill="FFFFFF"/>
        <w:spacing w:after="300" w:line="240" w:lineRule="auto"/>
        <w:jc w:val="both"/>
        <w:rPr>
          <w:rFonts w:ascii="Arial" w:eastAsia="Times New Roman" w:hAnsi="Arial" w:cs="Arial"/>
          <w:color w:val="212529"/>
          <w:sz w:val="27"/>
          <w:szCs w:val="27"/>
          <w:lang w:eastAsia="tr-TR"/>
        </w:rPr>
      </w:pPr>
      <w:r w:rsidRPr="000F72DC">
        <w:rPr>
          <w:rFonts w:ascii="Arial" w:eastAsia="Times New Roman" w:hAnsi="Arial" w:cs="Arial"/>
          <w:color w:val="212529"/>
          <w:sz w:val="27"/>
          <w:szCs w:val="27"/>
          <w:lang w:eastAsia="tr-TR"/>
        </w:rPr>
        <w:lastRenderedPageBreak/>
        <w:t>- Organize sanayi bölgelerinde yer alan parsellerin tamamen veya kısmen bedelsiz olarak tahsisi hakkındaki 14.05.2018 tarih ve 2018/11773 sayılı Bakanlar Kurulu Kararının eki Kararın ikinci maddesinde yer alan ''Bu karar üç yıl süreyle uygulanmak üzere yayımı tarihinde yürürlüğe girer'' ifadesinin ''31.12.2024 tarihine kadar'' şeklinde değiştiği,</w:t>
      </w:r>
    </w:p>
    <w:p w:rsidR="000F72DC" w:rsidRPr="000F72DC" w:rsidRDefault="000F72DC" w:rsidP="000F72DC">
      <w:pPr>
        <w:shd w:val="clear" w:color="auto" w:fill="FFFFFF"/>
        <w:spacing w:after="300" w:line="240" w:lineRule="auto"/>
        <w:jc w:val="both"/>
        <w:rPr>
          <w:rFonts w:ascii="Arial" w:eastAsia="Times New Roman" w:hAnsi="Arial" w:cs="Arial"/>
          <w:color w:val="212529"/>
          <w:sz w:val="27"/>
          <w:szCs w:val="27"/>
          <w:lang w:eastAsia="tr-TR"/>
        </w:rPr>
      </w:pPr>
      <w:r w:rsidRPr="000F72DC">
        <w:rPr>
          <w:rFonts w:ascii="Arial" w:eastAsia="Times New Roman" w:hAnsi="Arial" w:cs="Arial"/>
          <w:color w:val="212529"/>
          <w:sz w:val="27"/>
          <w:szCs w:val="27"/>
          <w:lang w:eastAsia="tr-TR"/>
        </w:rPr>
        <w:t>- Aynı kararın üçüncü maddesinde yer alan ''Bu Karar hükümlerini Bilim, Sanayi ve Teknoloji Bakanı yürütür'' ifadesinin ''Bu Karar hükümlerini Sanayi ve Teknoloji Bakanı yürütür'' şeklinde düzenlendiği,</w:t>
      </w:r>
    </w:p>
    <w:p w:rsidR="000F72DC" w:rsidRPr="000F72DC" w:rsidRDefault="000F72DC" w:rsidP="000F72DC">
      <w:pPr>
        <w:shd w:val="clear" w:color="auto" w:fill="FFFFFF"/>
        <w:spacing w:after="300" w:line="240" w:lineRule="auto"/>
        <w:jc w:val="both"/>
        <w:rPr>
          <w:rFonts w:ascii="Arial" w:eastAsia="Times New Roman" w:hAnsi="Arial" w:cs="Arial"/>
          <w:color w:val="212529"/>
          <w:sz w:val="27"/>
          <w:szCs w:val="27"/>
          <w:lang w:eastAsia="tr-TR"/>
        </w:rPr>
      </w:pPr>
      <w:r w:rsidRPr="000F72DC">
        <w:rPr>
          <w:rFonts w:ascii="Arial" w:eastAsia="Times New Roman" w:hAnsi="Arial" w:cs="Arial"/>
          <w:color w:val="212529"/>
          <w:sz w:val="27"/>
          <w:szCs w:val="27"/>
          <w:lang w:eastAsia="tr-TR"/>
        </w:rPr>
        <w:t>- ''Bu Karar yayımı tarihinde yürürlüğe girer'' ifadesinin eklendiği görülmektedir. </w:t>
      </w:r>
    </w:p>
    <w:p w:rsidR="000F72DC" w:rsidRPr="000F72DC" w:rsidRDefault="000F72DC" w:rsidP="000F72DC">
      <w:pPr>
        <w:shd w:val="clear" w:color="auto" w:fill="FFFFFF"/>
        <w:spacing w:after="525" w:line="240" w:lineRule="auto"/>
        <w:outlineLvl w:val="2"/>
        <w:rPr>
          <w:rFonts w:ascii="Arial" w:eastAsia="Times New Roman" w:hAnsi="Arial" w:cs="Arial"/>
          <w:b/>
          <w:bCs/>
          <w:color w:val="015B65"/>
          <w:sz w:val="42"/>
          <w:szCs w:val="42"/>
          <w:lang w:eastAsia="tr-TR"/>
        </w:rPr>
      </w:pPr>
      <w:r w:rsidRPr="000F72DC">
        <w:rPr>
          <w:rFonts w:ascii="Arial" w:eastAsia="Times New Roman" w:hAnsi="Arial" w:cs="Arial"/>
          <w:b/>
          <w:bCs/>
          <w:color w:val="015B65"/>
          <w:sz w:val="42"/>
          <w:szCs w:val="42"/>
          <w:lang w:eastAsia="tr-TR"/>
        </w:rPr>
        <w:t>Dokümanlar</w:t>
      </w:r>
    </w:p>
    <w:p w:rsidR="000F72DC" w:rsidRPr="000F72DC" w:rsidRDefault="00AE6322" w:rsidP="000F72DC">
      <w:pPr>
        <w:shd w:val="clear" w:color="auto" w:fill="FFFFFF"/>
        <w:spacing w:after="0" w:line="240" w:lineRule="auto"/>
        <w:rPr>
          <w:rFonts w:ascii="Arial" w:eastAsia="Times New Roman" w:hAnsi="Arial" w:cs="Arial"/>
          <w:color w:val="212529"/>
          <w:sz w:val="24"/>
          <w:szCs w:val="24"/>
          <w:lang w:eastAsia="tr-TR"/>
        </w:rPr>
      </w:pPr>
      <w:hyperlink r:id="rId5" w:tgtFrame="_blank" w:history="1">
        <w:r w:rsidR="000F72DC">
          <w:rPr>
            <w:rFonts w:ascii="Arial" w:eastAsia="Times New Roman" w:hAnsi="Arial" w:cs="Arial"/>
            <w:noProof/>
            <w:color w:val="007BFF"/>
            <w:sz w:val="24"/>
            <w:szCs w:val="24"/>
            <w:bdr w:val="single" w:sz="6" w:space="15" w:color="D1D1D1" w:frame="1"/>
            <w:shd w:val="clear" w:color="auto" w:fill="FFFFFF"/>
            <w:lang w:eastAsia="tr-TR"/>
          </w:rPr>
          <w:drawing>
            <wp:inline distT="0" distB="0" distL="0" distR="0">
              <wp:extent cx="1781175" cy="800100"/>
              <wp:effectExtent l="19050" t="0" r="9525" b="0"/>
              <wp:docPr id="1" name="Resim 1" descr="Bilgi Notu">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gi Notu">
                        <a:hlinkClick r:id="rId5" tgtFrame="&quot;_blank&quot;"/>
                      </pic:cNvPr>
                      <pic:cNvPicPr>
                        <a:picLocks noChangeAspect="1" noChangeArrowheads="1"/>
                      </pic:cNvPicPr>
                    </pic:nvPicPr>
                    <pic:blipFill>
                      <a:blip r:embed="rId6"/>
                      <a:srcRect/>
                      <a:stretch>
                        <a:fillRect/>
                      </a:stretch>
                    </pic:blipFill>
                    <pic:spPr bwMode="auto">
                      <a:xfrm>
                        <a:off x="0" y="0"/>
                        <a:ext cx="1781175" cy="800100"/>
                      </a:xfrm>
                      <a:prstGeom prst="rect">
                        <a:avLst/>
                      </a:prstGeom>
                      <a:noFill/>
                      <a:ln w="9525">
                        <a:noFill/>
                        <a:miter lim="800000"/>
                        <a:headEnd/>
                        <a:tailEnd/>
                      </a:ln>
                    </pic:spPr>
                  </pic:pic>
                </a:graphicData>
              </a:graphic>
            </wp:inline>
          </w:drawing>
        </w:r>
        <w:r w:rsidR="000F72DC" w:rsidRPr="000F72DC">
          <w:rPr>
            <w:rFonts w:ascii="Arial" w:eastAsia="Times New Roman" w:hAnsi="Arial" w:cs="Arial"/>
            <w:b/>
            <w:bCs/>
            <w:color w:val="015B65"/>
            <w:sz w:val="24"/>
            <w:szCs w:val="24"/>
            <w:u w:val="single"/>
            <w:lang w:eastAsia="tr-TR"/>
          </w:rPr>
          <w:t>Bilgi Notu</w:t>
        </w:r>
      </w:hyperlink>
      <w:r w:rsidR="000F72DC">
        <w:rPr>
          <w:rFonts w:ascii="Arial" w:eastAsia="Times New Roman" w:hAnsi="Arial" w:cs="Arial"/>
          <w:color w:val="212529"/>
          <w:sz w:val="24"/>
          <w:szCs w:val="24"/>
          <w:lang w:eastAsia="tr-TR"/>
        </w:rPr>
        <w:t xml:space="preserve"> 1</w:t>
      </w:r>
    </w:p>
    <w:p w:rsidR="000F72DC" w:rsidRPr="000F72DC" w:rsidRDefault="00AE6322" w:rsidP="000F72DC">
      <w:pPr>
        <w:shd w:val="clear" w:color="auto" w:fill="FFFFFF"/>
        <w:spacing w:line="240" w:lineRule="auto"/>
        <w:rPr>
          <w:rFonts w:ascii="Arial" w:eastAsia="Times New Roman" w:hAnsi="Arial" w:cs="Arial"/>
          <w:color w:val="212529"/>
          <w:sz w:val="24"/>
          <w:szCs w:val="24"/>
          <w:lang w:eastAsia="tr-TR"/>
        </w:rPr>
      </w:pPr>
      <w:hyperlink r:id="rId7" w:tgtFrame="_blank" w:history="1">
        <w:r w:rsidR="000F72DC">
          <w:rPr>
            <w:rFonts w:ascii="Arial" w:eastAsia="Times New Roman" w:hAnsi="Arial" w:cs="Arial"/>
            <w:noProof/>
            <w:color w:val="0056B3"/>
            <w:sz w:val="24"/>
            <w:szCs w:val="24"/>
            <w:bdr w:val="single" w:sz="6" w:space="15" w:color="D1D1D1" w:frame="1"/>
            <w:shd w:val="clear" w:color="auto" w:fill="FFFFFF"/>
            <w:lang w:eastAsia="tr-TR"/>
          </w:rPr>
          <w:drawing>
            <wp:inline distT="0" distB="0" distL="0" distR="0">
              <wp:extent cx="1781175" cy="800100"/>
              <wp:effectExtent l="19050" t="0" r="9525" b="0"/>
              <wp:docPr id="2" name="Resim 2" descr="Bilgi Notu 2">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gi Notu 2">
                        <a:hlinkClick r:id="rId7" tgtFrame="&quot;_blank&quot;"/>
                      </pic:cNvPr>
                      <pic:cNvPicPr>
                        <a:picLocks noChangeAspect="1" noChangeArrowheads="1"/>
                      </pic:cNvPicPr>
                    </pic:nvPicPr>
                    <pic:blipFill>
                      <a:blip r:embed="rId6"/>
                      <a:srcRect/>
                      <a:stretch>
                        <a:fillRect/>
                      </a:stretch>
                    </pic:blipFill>
                    <pic:spPr bwMode="auto">
                      <a:xfrm>
                        <a:off x="0" y="0"/>
                        <a:ext cx="1781175" cy="800100"/>
                      </a:xfrm>
                      <a:prstGeom prst="rect">
                        <a:avLst/>
                      </a:prstGeom>
                      <a:noFill/>
                      <a:ln w="9525">
                        <a:noFill/>
                        <a:miter lim="800000"/>
                        <a:headEnd/>
                        <a:tailEnd/>
                      </a:ln>
                    </pic:spPr>
                  </pic:pic>
                </a:graphicData>
              </a:graphic>
            </wp:inline>
          </w:drawing>
        </w:r>
        <w:r w:rsidR="000F72DC" w:rsidRPr="000F72DC">
          <w:rPr>
            <w:rFonts w:ascii="Arial" w:eastAsia="Times New Roman" w:hAnsi="Arial" w:cs="Arial"/>
            <w:b/>
            <w:bCs/>
            <w:color w:val="015B65"/>
            <w:sz w:val="24"/>
            <w:szCs w:val="24"/>
            <w:u w:val="single"/>
            <w:lang w:eastAsia="tr-TR"/>
          </w:rPr>
          <w:t>Bilgi Notu 2</w:t>
        </w:r>
      </w:hyperlink>
    </w:p>
    <w:p w:rsidR="0022163D" w:rsidRDefault="0022163D"/>
    <w:sectPr w:rsidR="0022163D" w:rsidSect="002216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60839"/>
    <w:multiLevelType w:val="multilevel"/>
    <w:tmpl w:val="26CA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72DC"/>
    <w:rsid w:val="000F72DC"/>
    <w:rsid w:val="00213A32"/>
    <w:rsid w:val="0022163D"/>
    <w:rsid w:val="00AE6322"/>
    <w:rsid w:val="00DA529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63D"/>
  </w:style>
  <w:style w:type="paragraph" w:styleId="Balk2">
    <w:name w:val="heading 2"/>
    <w:basedOn w:val="Normal"/>
    <w:link w:val="Balk2Char"/>
    <w:uiPriority w:val="9"/>
    <w:qFormat/>
    <w:rsid w:val="000F72D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0F72D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F72DC"/>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0F72DC"/>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0F72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F72DC"/>
    <w:rPr>
      <w:color w:val="0000FF"/>
      <w:u w:val="single"/>
    </w:rPr>
  </w:style>
  <w:style w:type="paragraph" w:styleId="BalonMetni">
    <w:name w:val="Balloon Text"/>
    <w:basedOn w:val="Normal"/>
    <w:link w:val="BalonMetniChar"/>
    <w:uiPriority w:val="99"/>
    <w:semiHidden/>
    <w:unhideWhenUsed/>
    <w:rsid w:val="000F72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F72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8257927">
      <w:bodyDiv w:val="1"/>
      <w:marLeft w:val="0"/>
      <w:marRight w:val="0"/>
      <w:marTop w:val="0"/>
      <w:marBottom w:val="0"/>
      <w:divBdr>
        <w:top w:val="none" w:sz="0" w:space="0" w:color="auto"/>
        <w:left w:val="none" w:sz="0" w:space="0" w:color="auto"/>
        <w:bottom w:val="none" w:sz="0" w:space="0" w:color="auto"/>
        <w:right w:val="none" w:sz="0" w:space="0" w:color="auto"/>
      </w:divBdr>
      <w:divsChild>
        <w:div w:id="885990247">
          <w:marLeft w:val="0"/>
          <w:marRight w:val="0"/>
          <w:marTop w:val="0"/>
          <w:marBottom w:val="1500"/>
          <w:divBdr>
            <w:top w:val="none" w:sz="0" w:space="0" w:color="auto"/>
            <w:left w:val="none" w:sz="0" w:space="0" w:color="auto"/>
            <w:bottom w:val="none" w:sz="0" w:space="0" w:color="auto"/>
            <w:right w:val="none" w:sz="0" w:space="0" w:color="auto"/>
          </w:divBdr>
          <w:divsChild>
            <w:div w:id="684525713">
              <w:marLeft w:val="-450"/>
              <w:marRight w:val="-450"/>
              <w:marTop w:val="0"/>
              <w:marBottom w:val="0"/>
              <w:divBdr>
                <w:top w:val="none" w:sz="0" w:space="0" w:color="auto"/>
                <w:left w:val="none" w:sz="0" w:space="0" w:color="auto"/>
                <w:bottom w:val="none" w:sz="0" w:space="0" w:color="auto"/>
                <w:right w:val="none" w:sz="0" w:space="0" w:color="auto"/>
              </w:divBdr>
              <w:divsChild>
                <w:div w:id="861746306">
                  <w:marLeft w:val="0"/>
                  <w:marRight w:val="0"/>
                  <w:marTop w:val="0"/>
                  <w:marBottom w:val="0"/>
                  <w:divBdr>
                    <w:top w:val="none" w:sz="0" w:space="0" w:color="auto"/>
                    <w:left w:val="none" w:sz="0" w:space="0" w:color="auto"/>
                    <w:bottom w:val="none" w:sz="0" w:space="0" w:color="auto"/>
                    <w:right w:val="none" w:sz="0" w:space="0" w:color="auto"/>
                  </w:divBdr>
                </w:div>
                <w:div w:id="13981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o.org.tr/documents/eski-kara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ito.org.tr/documents/yeni-karar_png.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5</cp:revision>
  <dcterms:created xsi:type="dcterms:W3CDTF">2022-07-22T10:28:00Z</dcterms:created>
  <dcterms:modified xsi:type="dcterms:W3CDTF">2022-07-22T10:34:00Z</dcterms:modified>
</cp:coreProperties>
</file>