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8" w:rsidRPr="009961F8" w:rsidRDefault="009961F8" w:rsidP="009961F8">
      <w:pPr>
        <w:pBdr>
          <w:bottom w:val="single" w:sz="6" w:space="15" w:color="DDDDDD"/>
        </w:pBdr>
        <w:spacing w:after="450" w:line="420" w:lineRule="atLeast"/>
        <w:jc w:val="both"/>
        <w:outlineLvl w:val="0"/>
        <w:rPr>
          <w:rFonts w:ascii="Arial" w:eastAsia="Times New Roman" w:hAnsi="Arial" w:cs="Arial"/>
          <w:color w:val="111111"/>
          <w:kern w:val="36"/>
          <w:sz w:val="32"/>
          <w:szCs w:val="32"/>
          <w:lang w:eastAsia="tr-TR"/>
        </w:rPr>
      </w:pPr>
      <w:r w:rsidRPr="009961F8">
        <w:rPr>
          <w:rFonts w:ascii="Arial" w:eastAsia="Times New Roman" w:hAnsi="Arial" w:cs="Arial"/>
          <w:color w:val="111111"/>
          <w:kern w:val="36"/>
          <w:sz w:val="32"/>
          <w:szCs w:val="32"/>
          <w:lang w:eastAsia="tr-TR"/>
        </w:rPr>
        <w:t>YENİ VARLIK BARIŞI YÜRÜRLÜĞE GİRMİŞTİR</w:t>
      </w:r>
    </w:p>
    <w:p w:rsidR="009961F8" w:rsidRPr="009961F8" w:rsidRDefault="009961F8" w:rsidP="009961F8">
      <w:pPr>
        <w:pBdr>
          <w:bottom w:val="single" w:sz="6" w:space="15" w:color="DDDDDD"/>
        </w:pBdr>
        <w:spacing w:after="450" w:line="420" w:lineRule="atLeast"/>
        <w:jc w:val="both"/>
        <w:outlineLvl w:val="0"/>
        <w:rPr>
          <w:rFonts w:ascii="Arial" w:eastAsia="Times New Roman" w:hAnsi="Arial" w:cs="Arial"/>
          <w:color w:val="111111"/>
          <w:kern w:val="36"/>
          <w:sz w:val="24"/>
          <w:szCs w:val="24"/>
          <w:lang w:eastAsia="tr-TR"/>
        </w:rPr>
      </w:pPr>
      <w:proofErr w:type="gramStart"/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5/7/2022</w:t>
      </w:r>
      <w:proofErr w:type="gramEnd"/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 xml:space="preserve"> tarihli ve 31887 sayılı Resmi Gazete’de yayımlanan 7417 sayılı Devlet Memurları Kanunu ile Bazı Kanunlarda ve 375 sayılı Kanun Hükmünde Kararnamede Değişiklik Yapılmasına Dair Kanunun 50 </w:t>
      </w:r>
      <w:proofErr w:type="spellStart"/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nci</w:t>
      </w:r>
      <w:proofErr w:type="spellEnd"/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 xml:space="preserve"> maddesiyle 5520 sayılı Kurumlar Vergisi Kanununa eklenen geçici 15 inci madde ile yurt dışında ve yurt içinde bulunan bazı varlıkların ekonomiye kazandırılmasına imkân veren düzenleme yürürlüğe girmiş bulunmaktadır.</w:t>
      </w:r>
    </w:p>
    <w:p w:rsidR="009961F8" w:rsidRPr="009961F8" w:rsidRDefault="009961F8" w:rsidP="009961F8">
      <w:pPr>
        <w:spacing w:after="300" w:line="240" w:lineRule="auto"/>
        <w:jc w:val="both"/>
        <w:rPr>
          <w:rFonts w:ascii="Arial" w:eastAsia="Times New Roman" w:hAnsi="Arial" w:cs="Arial"/>
          <w:color w:val="777777"/>
          <w:sz w:val="24"/>
          <w:szCs w:val="24"/>
          <w:lang w:eastAsia="tr-TR"/>
        </w:rPr>
      </w:pPr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 xml:space="preserve">Bu Kanun </w:t>
      </w:r>
      <w:proofErr w:type="gramStart"/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ile;</w:t>
      </w:r>
      <w:proofErr w:type="gramEnd"/>
    </w:p>
    <w:p w:rsidR="009961F8" w:rsidRPr="009961F8" w:rsidRDefault="009961F8" w:rsidP="009961F8">
      <w:pPr>
        <w:numPr>
          <w:ilvl w:val="0"/>
          <w:numId w:val="1"/>
        </w:numPr>
        <w:spacing w:before="100" w:beforeAutospacing="1" w:after="100" w:afterAutospacing="1" w:line="300" w:lineRule="atLeast"/>
        <w:ind w:left="675"/>
        <w:jc w:val="both"/>
        <w:rPr>
          <w:rFonts w:ascii="Arial" w:eastAsia="Times New Roman" w:hAnsi="Arial" w:cs="Arial"/>
          <w:color w:val="777777"/>
          <w:sz w:val="24"/>
          <w:szCs w:val="24"/>
          <w:lang w:eastAsia="tr-TR"/>
        </w:rPr>
      </w:pPr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Gerçek veya tüzel kişilerin yurt dışında bulunan; </w:t>
      </w:r>
      <w:r w:rsidRPr="009961F8">
        <w:rPr>
          <w:rFonts w:ascii="Arial" w:eastAsia="Times New Roman" w:hAnsi="Arial" w:cs="Arial"/>
          <w:b/>
          <w:bCs/>
          <w:color w:val="777777"/>
          <w:sz w:val="24"/>
          <w:szCs w:val="24"/>
          <w:lang w:eastAsia="tr-TR"/>
        </w:rPr>
        <w:t>para, altın, döviz, menkul kıymet ve diğer sermaye piyasası araçlarının</w:t>
      </w:r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 </w:t>
      </w:r>
      <w:r w:rsidRPr="009961F8">
        <w:rPr>
          <w:rFonts w:ascii="Arial" w:eastAsia="Times New Roman" w:hAnsi="Arial" w:cs="Arial"/>
          <w:b/>
          <w:bCs/>
          <w:color w:val="777777"/>
          <w:sz w:val="24"/>
          <w:szCs w:val="24"/>
          <w:lang w:eastAsia="tr-TR"/>
        </w:rPr>
        <w:t>banka veya aracı kurumlara bildirilmek</w:t>
      </w:r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 suretiyle milli ekonomiye kazandırılmasına,</w:t>
      </w:r>
    </w:p>
    <w:p w:rsidR="009961F8" w:rsidRPr="009961F8" w:rsidRDefault="009961F8" w:rsidP="009961F8">
      <w:pPr>
        <w:numPr>
          <w:ilvl w:val="0"/>
          <w:numId w:val="1"/>
        </w:numPr>
        <w:spacing w:before="100" w:beforeAutospacing="1" w:after="100" w:afterAutospacing="1" w:line="300" w:lineRule="atLeast"/>
        <w:ind w:left="675"/>
        <w:jc w:val="both"/>
        <w:rPr>
          <w:rFonts w:ascii="Arial" w:eastAsia="Times New Roman" w:hAnsi="Arial" w:cs="Arial"/>
          <w:color w:val="777777"/>
          <w:sz w:val="24"/>
          <w:szCs w:val="24"/>
          <w:lang w:eastAsia="tr-TR"/>
        </w:rPr>
      </w:pPr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Gelir veya kurumlar vergisi mükelleflerince sahip olunan ve Türkiye’de bulunan ancak kanuni defter kayıtlarında yer almayan </w:t>
      </w:r>
      <w:r w:rsidRPr="009961F8">
        <w:rPr>
          <w:rFonts w:ascii="Arial" w:eastAsia="Times New Roman" w:hAnsi="Arial" w:cs="Arial"/>
          <w:b/>
          <w:bCs/>
          <w:color w:val="777777"/>
          <w:sz w:val="24"/>
          <w:szCs w:val="24"/>
          <w:lang w:eastAsia="tr-TR"/>
        </w:rPr>
        <w:t>para, altın, döviz, menkul kıymetler ve diğer sermaye piyasası araçları ile taşınmazların</w:t>
      </w:r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 </w:t>
      </w:r>
      <w:r w:rsidRPr="009961F8">
        <w:rPr>
          <w:rFonts w:ascii="Arial" w:eastAsia="Times New Roman" w:hAnsi="Arial" w:cs="Arial"/>
          <w:b/>
          <w:bCs/>
          <w:color w:val="777777"/>
          <w:sz w:val="24"/>
          <w:szCs w:val="24"/>
          <w:lang w:eastAsia="tr-TR"/>
        </w:rPr>
        <w:t>vergi dairesine beyan edilerek</w:t>
      </w:r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 kanuni defter kayıtlarına alınabilmesine,</w:t>
      </w:r>
    </w:p>
    <w:p w:rsidR="009961F8" w:rsidRPr="009961F8" w:rsidRDefault="009961F8" w:rsidP="009961F8">
      <w:pPr>
        <w:spacing w:after="300" w:line="240" w:lineRule="auto"/>
        <w:jc w:val="both"/>
        <w:rPr>
          <w:rFonts w:ascii="Arial" w:eastAsia="Times New Roman" w:hAnsi="Arial" w:cs="Arial"/>
          <w:color w:val="777777"/>
          <w:sz w:val="24"/>
          <w:szCs w:val="24"/>
          <w:lang w:eastAsia="tr-TR"/>
        </w:rPr>
      </w:pPr>
      <w:proofErr w:type="gramStart"/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imkan</w:t>
      </w:r>
      <w:proofErr w:type="gramEnd"/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 xml:space="preserve"> sağlanmaktadır.</w:t>
      </w:r>
    </w:p>
    <w:p w:rsidR="009961F8" w:rsidRPr="009961F8" w:rsidRDefault="009961F8" w:rsidP="009961F8">
      <w:pPr>
        <w:spacing w:after="300" w:line="240" w:lineRule="auto"/>
        <w:jc w:val="both"/>
        <w:rPr>
          <w:rFonts w:ascii="Arial" w:eastAsia="Times New Roman" w:hAnsi="Arial" w:cs="Arial"/>
          <w:color w:val="777777"/>
          <w:sz w:val="24"/>
          <w:szCs w:val="24"/>
          <w:lang w:eastAsia="tr-TR"/>
        </w:rPr>
      </w:pPr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Gerçek ve tüzel kişiler, yurt dışı ve yurt içi varlıkları için yeni Varlık Barışı uygulamasından </w:t>
      </w:r>
      <w:r w:rsidRPr="009961F8">
        <w:rPr>
          <w:rFonts w:ascii="Arial" w:eastAsia="Times New Roman" w:hAnsi="Arial" w:cs="Arial"/>
          <w:b/>
          <w:bCs/>
          <w:color w:val="777777"/>
          <w:sz w:val="24"/>
          <w:szCs w:val="24"/>
          <w:lang w:eastAsia="tr-TR"/>
        </w:rPr>
        <w:t>31 Mart 2023</w:t>
      </w:r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 tarihine kadar bildirim veya beyanda bulunmak suretiyle yararlanabileceklerdir.</w:t>
      </w:r>
    </w:p>
    <w:p w:rsidR="009961F8" w:rsidRPr="009961F8" w:rsidRDefault="009961F8" w:rsidP="009961F8">
      <w:pPr>
        <w:spacing w:after="300" w:line="240" w:lineRule="auto"/>
        <w:jc w:val="both"/>
        <w:rPr>
          <w:rFonts w:ascii="Arial" w:eastAsia="Times New Roman" w:hAnsi="Arial" w:cs="Arial"/>
          <w:color w:val="777777"/>
          <w:sz w:val="24"/>
          <w:szCs w:val="24"/>
          <w:lang w:eastAsia="tr-TR"/>
        </w:rPr>
      </w:pPr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Yurt dışındaki söz konusu varlıkların Türkiye’ye getirilebilmesi için vergi mükellefi veya Türk vatandaşı olma zorunluluğu bulunmamakta olup düzenlemeden herkes yararlanabilecektir.</w:t>
      </w:r>
    </w:p>
    <w:p w:rsidR="009961F8" w:rsidRPr="009961F8" w:rsidRDefault="009961F8" w:rsidP="009961F8">
      <w:pPr>
        <w:spacing w:after="300" w:line="240" w:lineRule="auto"/>
        <w:jc w:val="both"/>
        <w:rPr>
          <w:rFonts w:ascii="Arial" w:eastAsia="Times New Roman" w:hAnsi="Arial" w:cs="Arial"/>
          <w:color w:val="777777"/>
          <w:sz w:val="24"/>
          <w:szCs w:val="24"/>
          <w:lang w:eastAsia="tr-TR"/>
        </w:rPr>
      </w:pPr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Banka ve aracı kurumlara bildirilen yurt dışındaki varlıkların değeri üzerinden;</w:t>
      </w:r>
    </w:p>
    <w:p w:rsidR="009961F8" w:rsidRPr="009961F8" w:rsidRDefault="009961F8" w:rsidP="009961F8">
      <w:pPr>
        <w:numPr>
          <w:ilvl w:val="0"/>
          <w:numId w:val="2"/>
        </w:numPr>
        <w:spacing w:before="100" w:beforeAutospacing="1" w:after="100" w:afterAutospacing="1" w:line="300" w:lineRule="atLeast"/>
        <w:ind w:left="675"/>
        <w:jc w:val="both"/>
        <w:rPr>
          <w:rFonts w:ascii="Arial" w:eastAsia="Times New Roman" w:hAnsi="Arial" w:cs="Arial"/>
          <w:color w:val="777777"/>
          <w:sz w:val="24"/>
          <w:szCs w:val="24"/>
          <w:lang w:eastAsia="tr-TR"/>
        </w:rPr>
      </w:pPr>
      <w:proofErr w:type="gramStart"/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30/9/2022</w:t>
      </w:r>
      <w:proofErr w:type="gramEnd"/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 xml:space="preserve"> tarihine kadar yapılan bildirimler için %1,</w:t>
      </w:r>
    </w:p>
    <w:p w:rsidR="009961F8" w:rsidRPr="009961F8" w:rsidRDefault="009961F8" w:rsidP="009961F8">
      <w:pPr>
        <w:numPr>
          <w:ilvl w:val="0"/>
          <w:numId w:val="2"/>
        </w:numPr>
        <w:spacing w:before="100" w:beforeAutospacing="1" w:after="100" w:afterAutospacing="1" w:line="300" w:lineRule="atLeast"/>
        <w:ind w:left="675"/>
        <w:jc w:val="both"/>
        <w:rPr>
          <w:rFonts w:ascii="Arial" w:eastAsia="Times New Roman" w:hAnsi="Arial" w:cs="Arial"/>
          <w:color w:val="777777"/>
          <w:sz w:val="24"/>
          <w:szCs w:val="24"/>
          <w:lang w:eastAsia="tr-TR"/>
        </w:rPr>
      </w:pPr>
      <w:proofErr w:type="gramStart"/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1/10/2022</w:t>
      </w:r>
      <w:proofErr w:type="gramEnd"/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 xml:space="preserve"> tarihi ila 31/12/2022 tarihi arasında yapılan bildirimler için %2,</w:t>
      </w:r>
    </w:p>
    <w:p w:rsidR="009961F8" w:rsidRPr="009961F8" w:rsidRDefault="009961F8" w:rsidP="009961F8">
      <w:pPr>
        <w:numPr>
          <w:ilvl w:val="0"/>
          <w:numId w:val="2"/>
        </w:numPr>
        <w:spacing w:before="100" w:beforeAutospacing="1" w:after="100" w:afterAutospacing="1" w:line="300" w:lineRule="atLeast"/>
        <w:ind w:left="675"/>
        <w:jc w:val="both"/>
        <w:rPr>
          <w:rFonts w:ascii="Arial" w:eastAsia="Times New Roman" w:hAnsi="Arial" w:cs="Arial"/>
          <w:color w:val="777777"/>
          <w:sz w:val="24"/>
          <w:szCs w:val="24"/>
          <w:lang w:eastAsia="tr-TR"/>
        </w:rPr>
      </w:pPr>
      <w:proofErr w:type="gramStart"/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1/1/2023</w:t>
      </w:r>
      <w:proofErr w:type="gramEnd"/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 xml:space="preserve"> tarihi ila 31/3/2023 tarihine kadar yapılan bildirimler için %3,</w:t>
      </w:r>
    </w:p>
    <w:p w:rsidR="009961F8" w:rsidRPr="009961F8" w:rsidRDefault="009961F8" w:rsidP="009961F8">
      <w:pPr>
        <w:spacing w:after="300" w:line="240" w:lineRule="auto"/>
        <w:jc w:val="both"/>
        <w:rPr>
          <w:rFonts w:ascii="Arial" w:eastAsia="Times New Roman" w:hAnsi="Arial" w:cs="Arial"/>
          <w:color w:val="777777"/>
          <w:sz w:val="24"/>
          <w:szCs w:val="24"/>
          <w:lang w:eastAsia="tr-TR"/>
        </w:rPr>
      </w:pPr>
      <w:proofErr w:type="gramStart"/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oranında</w:t>
      </w:r>
      <w:proofErr w:type="gramEnd"/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 xml:space="preserve"> hesaplanacak vergi, bildirim esnasında banka ve aracı kurumlara peşin olarak ödenecektir.</w:t>
      </w:r>
    </w:p>
    <w:p w:rsidR="009961F8" w:rsidRPr="009961F8" w:rsidRDefault="009961F8" w:rsidP="009961F8">
      <w:pPr>
        <w:spacing w:after="300" w:line="240" w:lineRule="auto"/>
        <w:jc w:val="both"/>
        <w:rPr>
          <w:rFonts w:ascii="Arial" w:eastAsia="Times New Roman" w:hAnsi="Arial" w:cs="Arial"/>
          <w:color w:val="777777"/>
          <w:sz w:val="24"/>
          <w:szCs w:val="24"/>
          <w:lang w:eastAsia="tr-TR"/>
        </w:rPr>
      </w:pPr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Bildirilen varlıkların, Türkiye’deki banka ya da aracı kurumlarda açılan hesaplarda en az bir yıl süreyle tutulması halinde vergi %0 olarak uygulanacak ve peşin olarak ödenmiş olan vergi bildirim sahibinin ilgili vergi dairesine başvurusu üzerine kendisine iade edilecektir.</w:t>
      </w:r>
    </w:p>
    <w:p w:rsidR="009961F8" w:rsidRPr="009961F8" w:rsidRDefault="009961F8" w:rsidP="009961F8">
      <w:pPr>
        <w:spacing w:after="300" w:line="240" w:lineRule="auto"/>
        <w:jc w:val="both"/>
        <w:rPr>
          <w:rFonts w:ascii="Arial" w:eastAsia="Times New Roman" w:hAnsi="Arial" w:cs="Arial"/>
          <w:color w:val="777777"/>
          <w:sz w:val="24"/>
          <w:szCs w:val="24"/>
          <w:lang w:eastAsia="tr-TR"/>
        </w:rPr>
      </w:pPr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lastRenderedPageBreak/>
        <w:t>Vergi dairelerine beyan edilen yurt içi varlıkların değeri üzerinden %3 oranında vergi tarh edilecek ve bu vergi, tarhiyatın yapıldığı ayı izleyen ayın sonuna kadar ödenecektir. Gelir ve kurumlar vergisi mükellefiyeti bulunmayanlar da beyan dışındaki diğer şartlar aranmaksızın varlıklarını beyan edebilirler.</w:t>
      </w:r>
    </w:p>
    <w:p w:rsidR="009961F8" w:rsidRPr="009961F8" w:rsidRDefault="009961F8" w:rsidP="009961F8">
      <w:pPr>
        <w:spacing w:after="300" w:line="240" w:lineRule="auto"/>
        <w:jc w:val="both"/>
        <w:rPr>
          <w:rFonts w:ascii="Arial" w:eastAsia="Times New Roman" w:hAnsi="Arial" w:cs="Arial"/>
          <w:color w:val="777777"/>
          <w:sz w:val="24"/>
          <w:szCs w:val="24"/>
          <w:lang w:eastAsia="tr-TR"/>
        </w:rPr>
      </w:pPr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Beyan edilerek işletme kayıtlarına alınacak taşınmazların işletmeye devrine ilişkin tapuda yapılacak işlemlerden </w:t>
      </w:r>
      <w:r w:rsidRPr="009961F8">
        <w:rPr>
          <w:rFonts w:ascii="Arial" w:eastAsia="Times New Roman" w:hAnsi="Arial" w:cs="Arial"/>
          <w:b/>
          <w:bCs/>
          <w:color w:val="777777"/>
          <w:sz w:val="24"/>
          <w:szCs w:val="24"/>
          <w:lang w:eastAsia="tr-TR"/>
        </w:rPr>
        <w:t>harç alınmayacaktır.</w:t>
      </w:r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 Ayrıca, taşınmazların işletmeye devri, elden çıkarma sayılmayacak ve </w:t>
      </w:r>
      <w:r w:rsidRPr="009961F8">
        <w:rPr>
          <w:rFonts w:ascii="Arial" w:eastAsia="Times New Roman" w:hAnsi="Arial" w:cs="Arial"/>
          <w:b/>
          <w:bCs/>
          <w:color w:val="777777"/>
          <w:sz w:val="24"/>
          <w:szCs w:val="24"/>
          <w:lang w:eastAsia="tr-TR"/>
        </w:rPr>
        <w:t>değer artış kazancı</w:t>
      </w:r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 hesaplanmayacaktır.</w:t>
      </w:r>
    </w:p>
    <w:p w:rsidR="009961F8" w:rsidRPr="009961F8" w:rsidRDefault="009961F8" w:rsidP="009961F8">
      <w:pPr>
        <w:spacing w:after="300" w:line="240" w:lineRule="auto"/>
        <w:jc w:val="both"/>
        <w:rPr>
          <w:rFonts w:ascii="Arial" w:eastAsia="Times New Roman" w:hAnsi="Arial" w:cs="Arial"/>
          <w:color w:val="777777"/>
          <w:sz w:val="24"/>
          <w:szCs w:val="24"/>
          <w:lang w:eastAsia="tr-TR"/>
        </w:rPr>
      </w:pPr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Bildirilen veya beyan edilen varlıklara isabet eden tutarlara ilişkin hiçbir suretle </w:t>
      </w:r>
      <w:r w:rsidRPr="009961F8">
        <w:rPr>
          <w:rFonts w:ascii="Arial" w:eastAsia="Times New Roman" w:hAnsi="Arial" w:cs="Arial"/>
          <w:b/>
          <w:bCs/>
          <w:color w:val="777777"/>
          <w:sz w:val="24"/>
          <w:szCs w:val="24"/>
          <w:lang w:eastAsia="tr-TR"/>
        </w:rPr>
        <w:t>vergi incelemesi ve vergi tarhiyatı </w:t>
      </w:r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yapılmayacaktır.</w:t>
      </w:r>
    </w:p>
    <w:p w:rsidR="009961F8" w:rsidRPr="009961F8" w:rsidRDefault="009961F8" w:rsidP="009961F8">
      <w:pPr>
        <w:spacing w:after="300" w:line="240" w:lineRule="auto"/>
        <w:jc w:val="both"/>
        <w:rPr>
          <w:rFonts w:ascii="Arial" w:eastAsia="Times New Roman" w:hAnsi="Arial" w:cs="Arial"/>
          <w:color w:val="777777"/>
          <w:sz w:val="24"/>
          <w:szCs w:val="24"/>
          <w:lang w:eastAsia="tr-TR"/>
        </w:rPr>
      </w:pPr>
      <w:r w:rsidRPr="009961F8">
        <w:rPr>
          <w:rFonts w:ascii="Arial" w:eastAsia="Times New Roman" w:hAnsi="Arial" w:cs="Arial"/>
          <w:color w:val="777777"/>
          <w:sz w:val="24"/>
          <w:szCs w:val="24"/>
          <w:lang w:eastAsia="tr-TR"/>
        </w:rPr>
        <w:t>Söz konusu Kanun için </w:t>
      </w:r>
      <w:hyperlink r:id="rId5" w:tgtFrame="_blank" w:history="1">
        <w:r w:rsidRPr="009961F8">
          <w:rPr>
            <w:rFonts w:ascii="Arial" w:eastAsia="Times New Roman" w:hAnsi="Arial" w:cs="Arial"/>
            <w:b/>
            <w:bCs/>
            <w:color w:val="666666"/>
            <w:sz w:val="24"/>
            <w:szCs w:val="24"/>
            <w:lang w:eastAsia="tr-TR"/>
          </w:rPr>
          <w:t>tıklayınız.</w:t>
        </w:r>
      </w:hyperlink>
    </w:p>
    <w:p w:rsidR="00F40D47" w:rsidRPr="009961F8" w:rsidRDefault="00F40D47" w:rsidP="009961F8">
      <w:pPr>
        <w:jc w:val="both"/>
        <w:rPr>
          <w:sz w:val="24"/>
          <w:szCs w:val="24"/>
        </w:rPr>
      </w:pPr>
    </w:p>
    <w:sectPr w:rsidR="00F40D47" w:rsidRPr="009961F8" w:rsidSect="00F40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3F18"/>
    <w:multiLevelType w:val="multilevel"/>
    <w:tmpl w:val="6D2C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9E7260"/>
    <w:multiLevelType w:val="multilevel"/>
    <w:tmpl w:val="EF36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61F8"/>
    <w:rsid w:val="009961F8"/>
    <w:rsid w:val="00F40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47"/>
  </w:style>
  <w:style w:type="paragraph" w:styleId="Balk1">
    <w:name w:val="heading 1"/>
    <w:basedOn w:val="Normal"/>
    <w:link w:val="Balk1Char"/>
    <w:uiPriority w:val="9"/>
    <w:qFormat/>
    <w:rsid w:val="00996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9961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961F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9961F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96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961F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6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61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8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1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27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20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4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1464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3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5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ib.gov.tr/sites/default/files/fileadmin/mevzuatek/7417sayilikanu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2022-07-22T10:09:00Z</dcterms:created>
  <dcterms:modified xsi:type="dcterms:W3CDTF">2022-07-22T10:13:00Z</dcterms:modified>
</cp:coreProperties>
</file>