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139" w:rsidRPr="00B11139" w:rsidRDefault="00B11139" w:rsidP="00B11139">
      <w:pPr>
        <w:spacing w:after="360" w:line="540" w:lineRule="atLeast"/>
        <w:textAlignment w:val="bottom"/>
        <w:outlineLvl w:val="0"/>
        <w:rPr>
          <w:rFonts w:ascii="Montserrat" w:eastAsia="Times New Roman" w:hAnsi="Montserrat" w:cs="Times New Roman"/>
          <w:color w:val="595959"/>
          <w:kern w:val="36"/>
          <w:sz w:val="28"/>
          <w:szCs w:val="28"/>
          <w:lang w:eastAsia="tr-TR"/>
        </w:rPr>
      </w:pPr>
      <w:r w:rsidRPr="00B11139">
        <w:rPr>
          <w:rFonts w:ascii="Montserrat" w:eastAsia="Times New Roman" w:hAnsi="Montserrat" w:cs="Times New Roman"/>
          <w:color w:val="595959"/>
          <w:kern w:val="36"/>
          <w:sz w:val="28"/>
          <w:szCs w:val="28"/>
          <w:lang w:eastAsia="tr-TR"/>
        </w:rPr>
        <w:t>DVK 2019-1 Taşeron Sözleşmesinin Damga Vergisine Tabi Olup Olmadığı Hakkında</w:t>
      </w:r>
      <w:r w:rsidR="001C4503">
        <w:rPr>
          <w:rFonts w:ascii="Montserrat" w:eastAsia="Times New Roman" w:hAnsi="Montserrat" w:cs="Times New Roman"/>
          <w:color w:val="595959"/>
          <w:kern w:val="36"/>
          <w:sz w:val="28"/>
          <w:szCs w:val="28"/>
          <w:lang w:eastAsia="tr-TR"/>
        </w:rPr>
        <w:t xml:space="preserve"> </w:t>
      </w:r>
      <w:proofErr w:type="spellStart"/>
      <w:r w:rsidR="001C4503">
        <w:rPr>
          <w:rFonts w:ascii="Montserrat" w:eastAsia="Times New Roman" w:hAnsi="Montserrat" w:cs="Times New Roman"/>
          <w:color w:val="595959"/>
          <w:kern w:val="36"/>
          <w:sz w:val="28"/>
          <w:szCs w:val="28"/>
          <w:lang w:eastAsia="tr-TR"/>
        </w:rPr>
        <w:t>Özelge</w:t>
      </w:r>
      <w:proofErr w:type="spellEnd"/>
    </w:p>
    <w:p w:rsidR="00B11139" w:rsidRPr="00B11139" w:rsidRDefault="00B11139" w:rsidP="001C4503">
      <w:pPr>
        <w:shd w:val="clear" w:color="auto" w:fill="FFFFFF"/>
        <w:spacing w:after="0" w:line="240" w:lineRule="auto"/>
        <w:jc w:val="center"/>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T.C.</w:t>
      </w:r>
    </w:p>
    <w:p w:rsidR="00B11139" w:rsidRPr="00B11139" w:rsidRDefault="00B11139" w:rsidP="001C4503">
      <w:pPr>
        <w:shd w:val="clear" w:color="auto" w:fill="FFFFFF"/>
        <w:spacing w:after="0" w:line="240" w:lineRule="auto"/>
        <w:jc w:val="center"/>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GELİR İDARESİ BAŞKANLIĞI</w:t>
      </w:r>
    </w:p>
    <w:p w:rsidR="00B11139" w:rsidRPr="00B11139" w:rsidRDefault="00B11139" w:rsidP="001C4503">
      <w:pPr>
        <w:shd w:val="clear" w:color="auto" w:fill="FFFFFF"/>
        <w:spacing w:after="0" w:line="240" w:lineRule="auto"/>
        <w:jc w:val="center"/>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Konya Vergi Dairesi Başkanlığı</w:t>
      </w:r>
    </w:p>
    <w:p w:rsidR="00B11139" w:rsidRPr="00B11139" w:rsidRDefault="00B11139" w:rsidP="00B11139">
      <w:pPr>
        <w:shd w:val="clear" w:color="auto" w:fill="FFFFFF"/>
        <w:spacing w:after="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color w:val="959595"/>
          <w:sz w:val="23"/>
          <w:szCs w:val="23"/>
          <w:lang w:eastAsia="tr-TR"/>
        </w:rPr>
        <w:t> </w:t>
      </w:r>
    </w:p>
    <w:tbl>
      <w:tblPr>
        <w:tblW w:w="5000" w:type="pct"/>
        <w:shd w:val="clear" w:color="auto" w:fill="FFFFFF"/>
        <w:tblCellMar>
          <w:top w:w="15" w:type="dxa"/>
          <w:left w:w="15" w:type="dxa"/>
          <w:bottom w:w="15" w:type="dxa"/>
          <w:right w:w="15" w:type="dxa"/>
        </w:tblCellMar>
        <w:tblLook w:val="04A0"/>
      </w:tblPr>
      <w:tblGrid>
        <w:gridCol w:w="1030"/>
        <w:gridCol w:w="557"/>
        <w:gridCol w:w="3846"/>
        <w:gridCol w:w="2140"/>
        <w:gridCol w:w="1979"/>
      </w:tblGrid>
      <w:tr w:rsidR="00B11139" w:rsidRPr="00B11139" w:rsidTr="001C4503">
        <w:tc>
          <w:tcPr>
            <w:tcW w:w="539"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Sayı</w:t>
            </w:r>
          </w:p>
        </w:tc>
        <w:tc>
          <w:tcPr>
            <w:tcW w:w="292"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w:t>
            </w:r>
          </w:p>
        </w:tc>
        <w:tc>
          <w:tcPr>
            <w:tcW w:w="3132" w:type="pct"/>
            <w:gridSpan w:val="2"/>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roofErr w:type="gramStart"/>
            <w:r w:rsidRPr="00B11139">
              <w:rPr>
                <w:rFonts w:ascii="Open Sans" w:eastAsia="Times New Roman" w:hAnsi="Open Sans" w:cs="Times New Roman"/>
                <w:color w:val="959595"/>
                <w:sz w:val="23"/>
                <w:szCs w:val="23"/>
                <w:lang w:eastAsia="tr-TR"/>
              </w:rPr>
              <w:t>37009108</w:t>
            </w:r>
            <w:proofErr w:type="gramEnd"/>
            <w:r w:rsidRPr="00B11139">
              <w:rPr>
                <w:rFonts w:ascii="Open Sans" w:eastAsia="Times New Roman" w:hAnsi="Open Sans" w:cs="Times New Roman"/>
                <w:color w:val="959595"/>
                <w:sz w:val="23"/>
                <w:szCs w:val="23"/>
                <w:lang w:eastAsia="tr-TR"/>
              </w:rPr>
              <w:t>-155[2017-E.390634] – 12724</w:t>
            </w:r>
          </w:p>
        </w:tc>
        <w:tc>
          <w:tcPr>
            <w:tcW w:w="1037"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roofErr w:type="gramStart"/>
            <w:r w:rsidRPr="00B11139">
              <w:rPr>
                <w:rFonts w:ascii="Open Sans" w:eastAsia="Times New Roman" w:hAnsi="Open Sans" w:cs="Times New Roman"/>
                <w:color w:val="959595"/>
                <w:sz w:val="23"/>
                <w:szCs w:val="23"/>
                <w:lang w:eastAsia="tr-TR"/>
              </w:rPr>
              <w:t>05/02/2019</w:t>
            </w:r>
            <w:proofErr w:type="gramEnd"/>
          </w:p>
        </w:tc>
      </w:tr>
      <w:tr w:rsidR="00B11139" w:rsidRPr="00B11139" w:rsidTr="001C4503">
        <w:tc>
          <w:tcPr>
            <w:tcW w:w="539"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Konu</w:t>
            </w:r>
          </w:p>
        </w:tc>
        <w:tc>
          <w:tcPr>
            <w:tcW w:w="292"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w:t>
            </w:r>
          </w:p>
        </w:tc>
        <w:tc>
          <w:tcPr>
            <w:tcW w:w="2013"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color w:val="959595"/>
                <w:sz w:val="23"/>
                <w:szCs w:val="23"/>
                <w:lang w:eastAsia="tr-TR"/>
              </w:rPr>
              <w:t xml:space="preserve">Taşeron Sözleşmesinin Damga Vergisine tabi olup-olmadığı </w:t>
            </w:r>
            <w:proofErr w:type="spellStart"/>
            <w:r w:rsidRPr="00B11139">
              <w:rPr>
                <w:rFonts w:ascii="Open Sans" w:eastAsia="Times New Roman" w:hAnsi="Open Sans" w:cs="Times New Roman"/>
                <w:color w:val="959595"/>
                <w:sz w:val="23"/>
                <w:szCs w:val="23"/>
                <w:lang w:eastAsia="tr-TR"/>
              </w:rPr>
              <w:t>hk</w:t>
            </w:r>
            <w:proofErr w:type="spellEnd"/>
            <w:r w:rsidRPr="00B11139">
              <w:rPr>
                <w:rFonts w:ascii="Open Sans" w:eastAsia="Times New Roman" w:hAnsi="Open Sans" w:cs="Times New Roman"/>
                <w:color w:val="959595"/>
                <w:sz w:val="23"/>
                <w:szCs w:val="23"/>
                <w:lang w:eastAsia="tr-TR"/>
              </w:rPr>
              <w:t>.</w:t>
            </w:r>
          </w:p>
        </w:tc>
        <w:tc>
          <w:tcPr>
            <w:tcW w:w="2157" w:type="pct"/>
            <w:gridSpan w:val="2"/>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
        </w:tc>
      </w:tr>
      <w:tr w:rsidR="00B11139" w:rsidRPr="00B11139" w:rsidTr="001C4503">
        <w:tc>
          <w:tcPr>
            <w:tcW w:w="539"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İlgi</w:t>
            </w:r>
          </w:p>
        </w:tc>
        <w:tc>
          <w:tcPr>
            <w:tcW w:w="292"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w:t>
            </w:r>
          </w:p>
        </w:tc>
        <w:tc>
          <w:tcPr>
            <w:tcW w:w="2013"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b/>
                <w:bCs/>
                <w:color w:val="959595"/>
                <w:sz w:val="23"/>
                <w:lang w:eastAsia="tr-TR"/>
              </w:rPr>
              <w:t> </w:t>
            </w:r>
          </w:p>
        </w:tc>
        <w:tc>
          <w:tcPr>
            <w:tcW w:w="2157" w:type="pct"/>
            <w:gridSpan w:val="2"/>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
        </w:tc>
      </w:tr>
      <w:tr w:rsidR="00B11139" w:rsidRPr="00B11139" w:rsidTr="001C4503">
        <w:tc>
          <w:tcPr>
            <w:tcW w:w="539"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
        </w:tc>
        <w:tc>
          <w:tcPr>
            <w:tcW w:w="292"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
        </w:tc>
        <w:tc>
          <w:tcPr>
            <w:tcW w:w="2013"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
        </w:tc>
        <w:tc>
          <w:tcPr>
            <w:tcW w:w="1120"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
        </w:tc>
        <w:tc>
          <w:tcPr>
            <w:tcW w:w="1037" w:type="pct"/>
            <w:tcBorders>
              <w:top w:val="single" w:sz="6" w:space="0" w:color="E5E5E5"/>
              <w:left w:val="single" w:sz="6" w:space="0" w:color="E5E5E5"/>
              <w:bottom w:val="single" w:sz="6" w:space="0" w:color="E5E5E5"/>
              <w:right w:val="single" w:sz="6" w:space="0" w:color="E5E5E5"/>
            </w:tcBorders>
            <w:shd w:val="clear" w:color="auto" w:fill="FFFFFF"/>
            <w:tcMar>
              <w:top w:w="165" w:type="dxa"/>
              <w:left w:w="240" w:type="dxa"/>
              <w:bottom w:w="165" w:type="dxa"/>
              <w:right w:w="240" w:type="dxa"/>
            </w:tcMar>
            <w:vAlign w:val="center"/>
            <w:hideMark/>
          </w:tcPr>
          <w:p w:rsidR="00B11139" w:rsidRPr="00B11139" w:rsidRDefault="00B11139" w:rsidP="00B11139">
            <w:pPr>
              <w:spacing w:after="360" w:line="240" w:lineRule="auto"/>
              <w:rPr>
                <w:rFonts w:ascii="Open Sans" w:eastAsia="Times New Roman" w:hAnsi="Open Sans" w:cs="Times New Roman"/>
                <w:color w:val="959595"/>
                <w:sz w:val="23"/>
                <w:szCs w:val="23"/>
                <w:lang w:eastAsia="tr-TR"/>
              </w:rPr>
            </w:pPr>
          </w:p>
        </w:tc>
      </w:tr>
    </w:tbl>
    <w:p w:rsidR="00B11139" w:rsidRPr="00B11139" w:rsidRDefault="00B11139" w:rsidP="00B11139">
      <w:pPr>
        <w:shd w:val="clear" w:color="auto" w:fill="FFFFFF"/>
        <w:spacing w:after="0" w:line="240" w:lineRule="auto"/>
        <w:rPr>
          <w:rFonts w:ascii="Open Sans" w:eastAsia="Times New Roman" w:hAnsi="Open Sans" w:cs="Times New Roman"/>
          <w:color w:val="959595"/>
          <w:sz w:val="23"/>
          <w:szCs w:val="23"/>
          <w:lang w:eastAsia="tr-TR"/>
        </w:rPr>
      </w:pPr>
      <w:r w:rsidRPr="00B11139">
        <w:rPr>
          <w:rFonts w:ascii="Open Sans" w:eastAsia="Times New Roman" w:hAnsi="Open Sans" w:cs="Times New Roman"/>
          <w:color w:val="959595"/>
          <w:sz w:val="23"/>
          <w:szCs w:val="23"/>
          <w:lang w:eastAsia="tr-TR"/>
        </w:rPr>
        <w:t> </w:t>
      </w:r>
    </w:p>
    <w:p w:rsidR="00B11139" w:rsidRPr="00B11139" w:rsidRDefault="00B11139" w:rsidP="00B11139">
      <w:pPr>
        <w:shd w:val="clear" w:color="auto" w:fill="FFFFFF"/>
        <w:spacing w:after="0" w:line="240" w:lineRule="auto"/>
        <w:jc w:val="both"/>
        <w:rPr>
          <w:rFonts w:ascii="Open Sans" w:eastAsia="Times New Roman" w:hAnsi="Open Sans" w:cs="Times New Roman"/>
          <w:color w:val="959595"/>
          <w:sz w:val="24"/>
          <w:szCs w:val="24"/>
          <w:lang w:eastAsia="tr-TR"/>
        </w:rPr>
      </w:pPr>
      <w:r w:rsidRPr="00B11139">
        <w:rPr>
          <w:rFonts w:ascii="Open Sans" w:eastAsia="Times New Roman" w:hAnsi="Open Sans" w:cs="Times New Roman"/>
          <w:color w:val="959595"/>
          <w:sz w:val="24"/>
          <w:szCs w:val="24"/>
          <w:lang w:eastAsia="tr-TR"/>
        </w:rPr>
        <w:t xml:space="preserve">İlgide kayıtlı </w:t>
      </w:r>
      <w:proofErr w:type="spellStart"/>
      <w:r w:rsidRPr="00B11139">
        <w:rPr>
          <w:rFonts w:ascii="Open Sans" w:eastAsia="Times New Roman" w:hAnsi="Open Sans" w:cs="Times New Roman"/>
          <w:color w:val="959595"/>
          <w:sz w:val="24"/>
          <w:szCs w:val="24"/>
          <w:lang w:eastAsia="tr-TR"/>
        </w:rPr>
        <w:t>özelge</w:t>
      </w:r>
      <w:proofErr w:type="spellEnd"/>
      <w:r w:rsidRPr="00B11139">
        <w:rPr>
          <w:rFonts w:ascii="Open Sans" w:eastAsia="Times New Roman" w:hAnsi="Open Sans" w:cs="Times New Roman"/>
          <w:color w:val="959595"/>
          <w:sz w:val="24"/>
          <w:szCs w:val="24"/>
          <w:lang w:eastAsia="tr-TR"/>
        </w:rPr>
        <w:t xml:space="preserve"> talep formlarınızın incelenmesinden, … Konut Yapı Kooperatifi ile </w:t>
      </w:r>
      <w:proofErr w:type="gramStart"/>
      <w:r w:rsidRPr="00B11139">
        <w:rPr>
          <w:rFonts w:ascii="Open Sans" w:eastAsia="Times New Roman" w:hAnsi="Open Sans" w:cs="Times New Roman"/>
          <w:color w:val="959595"/>
          <w:sz w:val="24"/>
          <w:szCs w:val="24"/>
          <w:lang w:eastAsia="tr-TR"/>
        </w:rPr>
        <w:t>şirketiniz</w:t>
      </w:r>
      <w:proofErr w:type="gramEnd"/>
      <w:r w:rsidRPr="00B11139">
        <w:rPr>
          <w:rFonts w:ascii="Open Sans" w:eastAsia="Times New Roman" w:hAnsi="Open Sans" w:cs="Times New Roman"/>
          <w:color w:val="959595"/>
          <w:sz w:val="24"/>
          <w:szCs w:val="24"/>
          <w:lang w:eastAsia="tr-TR"/>
        </w:rPr>
        <w:t xml:space="preserve"> arasında “… İşleri Taşeron Sözleşmesi” düzenlendiği belirtilerek, söz konusu sözleşmeye </w:t>
      </w:r>
      <w:proofErr w:type="gramStart"/>
      <w:r w:rsidRPr="00B11139">
        <w:rPr>
          <w:rFonts w:ascii="Open Sans" w:eastAsia="Times New Roman" w:hAnsi="Open Sans" w:cs="Times New Roman"/>
          <w:color w:val="959595"/>
          <w:sz w:val="24"/>
          <w:szCs w:val="24"/>
          <w:lang w:eastAsia="tr-TR"/>
        </w:rPr>
        <w:t>13/03/2017</w:t>
      </w:r>
      <w:proofErr w:type="gramEnd"/>
      <w:r w:rsidRPr="00B11139">
        <w:rPr>
          <w:rFonts w:ascii="Open Sans" w:eastAsia="Times New Roman" w:hAnsi="Open Sans" w:cs="Times New Roman"/>
          <w:color w:val="959595"/>
          <w:sz w:val="24"/>
          <w:szCs w:val="24"/>
          <w:lang w:eastAsia="tr-TR"/>
        </w:rPr>
        <w:t xml:space="preserve"> tarih ve 2017/9973 sayılı Bakanlar Kurulu Kararına istinaden sıfır nispetinde damga vergisi uygulanıp uygulanamayacağı hususunda görüş talep ettiğiniz anlaşılmıştır.</w:t>
      </w:r>
    </w:p>
    <w:p w:rsidR="00B11139" w:rsidRPr="00B11139" w:rsidRDefault="00B11139" w:rsidP="00B11139">
      <w:pPr>
        <w:shd w:val="clear" w:color="auto" w:fill="FFFFFF"/>
        <w:spacing w:after="0" w:line="240" w:lineRule="auto"/>
        <w:jc w:val="both"/>
        <w:rPr>
          <w:rFonts w:ascii="Open Sans" w:eastAsia="Times New Roman" w:hAnsi="Open Sans" w:cs="Times New Roman"/>
          <w:color w:val="959595"/>
          <w:sz w:val="24"/>
          <w:szCs w:val="24"/>
          <w:lang w:eastAsia="tr-TR"/>
        </w:rPr>
      </w:pPr>
      <w:r w:rsidRPr="00B11139">
        <w:rPr>
          <w:rFonts w:ascii="Open Sans" w:eastAsia="Times New Roman" w:hAnsi="Open Sans" w:cs="Times New Roman"/>
          <w:color w:val="959595"/>
          <w:sz w:val="24"/>
          <w:szCs w:val="24"/>
          <w:lang w:eastAsia="tr-TR"/>
        </w:rPr>
        <w:t xml:space="preserve">Bilindiği üzere, 488 sayılı Damga Vergisi Kanununun 1 inci maddesinde; bu Kanuna ekli (1) sayılı tabloda yazılı kağıtların damga vergisine tabi olacağı; 4 üncü maddesinde, bir kağıdın tabi olacağı verginin tayini için o kağıdın mahiyetine bakılarak buna göre tabloda yazılı vergisinin bulunacağı, kağıtların mahiyetlerinin tayininde, şekli kanunlarda belirtilmiş olanlarda kanunlardaki adlarına, belirtilmemiş olanlarda üzerlerindeki yazının tazammun ettiği hüküm ve manaya bakılacağı; mahiyeti tayin edilmek istenen kağıt üzerinde başka bir kağıda atıf yapılmışsa, atıf yapılan kağıdın hükümlerine nazaran iktisap ettiği mahiyete göre vergi alınacağı; mükerrer 30 uncu maddesinin dördüncü fıkrasında, Bakanlar Kurulunun, bu Kanuna ekli (1) sayılı tabloda yer alan maktu vergileri (maktu ve nispi vergilerin asgari ve azami miktarlarını belirleyen hadler </w:t>
      </w:r>
      <w:proofErr w:type="gramStart"/>
      <w:r w:rsidRPr="00B11139">
        <w:rPr>
          <w:rFonts w:ascii="Open Sans" w:eastAsia="Times New Roman" w:hAnsi="Open Sans" w:cs="Times New Roman"/>
          <w:color w:val="959595"/>
          <w:sz w:val="24"/>
          <w:szCs w:val="24"/>
          <w:lang w:eastAsia="tr-TR"/>
        </w:rPr>
        <w:t>dahil</w:t>
      </w:r>
      <w:proofErr w:type="gramEnd"/>
      <w:r w:rsidRPr="00B11139">
        <w:rPr>
          <w:rFonts w:ascii="Open Sans" w:eastAsia="Times New Roman" w:hAnsi="Open Sans" w:cs="Times New Roman"/>
          <w:color w:val="959595"/>
          <w:sz w:val="24"/>
          <w:szCs w:val="24"/>
          <w:lang w:eastAsia="tr-TR"/>
        </w:rPr>
        <w:t xml:space="preserve">) ile nispi vergileri birlikte veya ayrı </w:t>
      </w:r>
      <w:proofErr w:type="spellStart"/>
      <w:r w:rsidRPr="00B11139">
        <w:rPr>
          <w:rFonts w:ascii="Open Sans" w:eastAsia="Times New Roman" w:hAnsi="Open Sans" w:cs="Times New Roman"/>
          <w:color w:val="959595"/>
          <w:sz w:val="24"/>
          <w:szCs w:val="24"/>
          <w:lang w:eastAsia="tr-TR"/>
        </w:rPr>
        <w:t>ayrı</w:t>
      </w:r>
      <w:proofErr w:type="spellEnd"/>
      <w:r w:rsidRPr="00B11139">
        <w:rPr>
          <w:rFonts w:ascii="Open Sans" w:eastAsia="Times New Roman" w:hAnsi="Open Sans" w:cs="Times New Roman"/>
          <w:color w:val="959595"/>
          <w:sz w:val="24"/>
          <w:szCs w:val="24"/>
          <w:lang w:eastAsia="tr-TR"/>
        </w:rPr>
        <w:t xml:space="preserve">, maktu vergilerde on katına, nispi vergilerde ise bir katına kadar artırmaya, uygulanmakta olan maktu vergileri yarısına kadar, nispi vergileri ise kâğıt türleri itibarıyla ayrı </w:t>
      </w:r>
      <w:proofErr w:type="spellStart"/>
      <w:r w:rsidRPr="00B11139">
        <w:rPr>
          <w:rFonts w:ascii="Open Sans" w:eastAsia="Times New Roman" w:hAnsi="Open Sans" w:cs="Times New Roman"/>
          <w:color w:val="959595"/>
          <w:sz w:val="24"/>
          <w:szCs w:val="24"/>
          <w:lang w:eastAsia="tr-TR"/>
        </w:rPr>
        <w:t>ayrı</w:t>
      </w:r>
      <w:proofErr w:type="spellEnd"/>
      <w:r w:rsidRPr="00B11139">
        <w:rPr>
          <w:rFonts w:ascii="Open Sans" w:eastAsia="Times New Roman" w:hAnsi="Open Sans" w:cs="Times New Roman"/>
          <w:color w:val="959595"/>
          <w:sz w:val="24"/>
          <w:szCs w:val="24"/>
          <w:lang w:eastAsia="tr-TR"/>
        </w:rPr>
        <w:t xml:space="preserve"> veya birlikte sıfıra kadar indirmeye bu had ve miktarlar arasında yeni had, miktar ve nispetler tespit etmeye yetkili olduğu hükümleri yer almaktadır.</w:t>
      </w:r>
    </w:p>
    <w:p w:rsidR="00B11139" w:rsidRPr="00B11139" w:rsidRDefault="00B11139" w:rsidP="00B11139">
      <w:pPr>
        <w:shd w:val="clear" w:color="auto" w:fill="FFFFFF"/>
        <w:spacing w:after="0" w:line="240" w:lineRule="auto"/>
        <w:jc w:val="both"/>
        <w:rPr>
          <w:rFonts w:ascii="Open Sans" w:eastAsia="Times New Roman" w:hAnsi="Open Sans" w:cs="Times New Roman"/>
          <w:color w:val="959595"/>
          <w:sz w:val="24"/>
          <w:szCs w:val="24"/>
          <w:lang w:eastAsia="tr-TR"/>
        </w:rPr>
      </w:pPr>
      <w:proofErr w:type="gramStart"/>
      <w:r w:rsidRPr="00B11139">
        <w:rPr>
          <w:rFonts w:ascii="Open Sans" w:eastAsia="Times New Roman" w:hAnsi="Open Sans" w:cs="Times New Roman"/>
          <w:color w:val="959595"/>
          <w:sz w:val="24"/>
          <w:szCs w:val="24"/>
          <w:lang w:eastAsia="tr-TR"/>
        </w:rPr>
        <w:t>Mezkur</w:t>
      </w:r>
      <w:proofErr w:type="gramEnd"/>
      <w:r w:rsidRPr="00B11139">
        <w:rPr>
          <w:rFonts w:ascii="Open Sans" w:eastAsia="Times New Roman" w:hAnsi="Open Sans" w:cs="Times New Roman"/>
          <w:color w:val="959595"/>
          <w:sz w:val="24"/>
          <w:szCs w:val="24"/>
          <w:lang w:eastAsia="tr-TR"/>
        </w:rPr>
        <w:t xml:space="preserve"> Kanuna ekli (1) sayılı tablonun “I.Akitlerle ilgili kağıtlar” başlıklı bölümünün “A.Belli parayı ihtiva eden kağıtlar” başlıklı fıkrasının (1) numaralı bendinde, mukavelenameler, taahhütnameler ve temliknamelerin; 6824 sayılı Kanunun 5 inci maddesi ile eklenen (15) numaralı bendinde ise, resmi şekilde düzenlenen kat karşılığı veya hasılat paylaşımı inşaat sözleşmeleri kapsamında yapı müteahhitleri ile alt yükleniciler arasında düzenlenen inşaat taahhüt sözleşmelerinin nispi damga vergisine tabi olduğu hükümlerine yer verilmiştir.</w:t>
      </w:r>
    </w:p>
    <w:p w:rsidR="00B11139" w:rsidRPr="00B11139" w:rsidRDefault="00B11139" w:rsidP="00B11139">
      <w:pPr>
        <w:shd w:val="clear" w:color="auto" w:fill="FFFFFF"/>
        <w:spacing w:after="0" w:line="240" w:lineRule="auto"/>
        <w:jc w:val="both"/>
        <w:rPr>
          <w:rFonts w:ascii="Open Sans" w:eastAsia="Times New Roman" w:hAnsi="Open Sans" w:cs="Times New Roman"/>
          <w:color w:val="959595"/>
          <w:sz w:val="24"/>
          <w:szCs w:val="24"/>
          <w:lang w:eastAsia="tr-TR"/>
        </w:rPr>
      </w:pPr>
      <w:r w:rsidRPr="00B11139">
        <w:rPr>
          <w:rFonts w:ascii="Open Sans" w:eastAsia="Times New Roman" w:hAnsi="Open Sans" w:cs="Times New Roman"/>
          <w:color w:val="959595"/>
          <w:sz w:val="24"/>
          <w:szCs w:val="24"/>
          <w:lang w:eastAsia="tr-TR"/>
        </w:rPr>
        <w:lastRenderedPageBreak/>
        <w:t xml:space="preserve">Diğer taraftan, </w:t>
      </w:r>
      <w:proofErr w:type="gramStart"/>
      <w:r w:rsidRPr="00B11139">
        <w:rPr>
          <w:rFonts w:ascii="Open Sans" w:eastAsia="Times New Roman" w:hAnsi="Open Sans" w:cs="Times New Roman"/>
          <w:color w:val="959595"/>
          <w:sz w:val="24"/>
          <w:szCs w:val="24"/>
          <w:lang w:eastAsia="tr-TR"/>
        </w:rPr>
        <w:t>15/03/2017</w:t>
      </w:r>
      <w:proofErr w:type="gramEnd"/>
      <w:r w:rsidRPr="00B11139">
        <w:rPr>
          <w:rFonts w:ascii="Open Sans" w:eastAsia="Times New Roman" w:hAnsi="Open Sans" w:cs="Times New Roman"/>
          <w:color w:val="959595"/>
          <w:sz w:val="24"/>
          <w:szCs w:val="24"/>
          <w:lang w:eastAsia="tr-TR"/>
        </w:rPr>
        <w:t xml:space="preserve"> tarihli ve 30008 sayılı Resmî Gazete’de yayımlanan 13/03/2017 tarihli ve 2017/9973 sayılı Bakanlar Kurulu Kararı ile 488 sayılı Damga Vergisi Kanununa ekli (1) sayılı tablonun “I.Akitlerle ilgili kağıtlar” başlıklı bölümünün “A.Belli parayı ihtiva eden kağıtlar” başlıklı fıkrasının (15) numaralı bendinde yer alan, resmi şekilde düzenlenen kat karşılığı veya hasılat paylaşımı inşaat sözleşmeleri kapsamında yapı müteahhitleri ile alt yükleniciler arasında düzenlenen inşaat taahhüt sözleşmelerine “0” (sıfır) nispetinde damga vergisi uygulanacağı karara bağlanmıştır.</w:t>
      </w:r>
    </w:p>
    <w:p w:rsidR="00B11139" w:rsidRPr="00B11139" w:rsidRDefault="00B11139" w:rsidP="00B11139">
      <w:pPr>
        <w:shd w:val="clear" w:color="auto" w:fill="FFFFFF"/>
        <w:spacing w:after="0" w:line="240" w:lineRule="auto"/>
        <w:jc w:val="both"/>
        <w:rPr>
          <w:rFonts w:ascii="Open Sans" w:eastAsia="Times New Roman" w:hAnsi="Open Sans" w:cs="Times New Roman"/>
          <w:color w:val="959595"/>
          <w:sz w:val="24"/>
          <w:szCs w:val="24"/>
          <w:lang w:eastAsia="tr-TR"/>
        </w:rPr>
      </w:pPr>
      <w:proofErr w:type="spellStart"/>
      <w:r w:rsidRPr="00B11139">
        <w:rPr>
          <w:rFonts w:ascii="Open Sans" w:eastAsia="Times New Roman" w:hAnsi="Open Sans" w:cs="Times New Roman"/>
          <w:color w:val="959595"/>
          <w:sz w:val="24"/>
          <w:szCs w:val="24"/>
          <w:lang w:eastAsia="tr-TR"/>
        </w:rPr>
        <w:t>Özelge</w:t>
      </w:r>
      <w:proofErr w:type="spellEnd"/>
      <w:r w:rsidRPr="00B11139">
        <w:rPr>
          <w:rFonts w:ascii="Open Sans" w:eastAsia="Times New Roman" w:hAnsi="Open Sans" w:cs="Times New Roman"/>
          <w:color w:val="959595"/>
          <w:sz w:val="24"/>
          <w:szCs w:val="24"/>
          <w:lang w:eastAsia="tr-TR"/>
        </w:rPr>
        <w:t xml:space="preserve"> talep formunuz ve eklerinin incelenmesinden, … Belediye Başkanlığı </w:t>
      </w:r>
      <w:proofErr w:type="gramStart"/>
      <w:r w:rsidRPr="00B11139">
        <w:rPr>
          <w:rFonts w:ascii="Open Sans" w:eastAsia="Times New Roman" w:hAnsi="Open Sans" w:cs="Times New Roman"/>
          <w:color w:val="959595"/>
          <w:sz w:val="24"/>
          <w:szCs w:val="24"/>
          <w:lang w:eastAsia="tr-TR"/>
        </w:rPr>
        <w:t>ile …</w:t>
      </w:r>
      <w:proofErr w:type="gramEnd"/>
      <w:r w:rsidRPr="00B11139">
        <w:rPr>
          <w:rFonts w:ascii="Open Sans" w:eastAsia="Times New Roman" w:hAnsi="Open Sans" w:cs="Times New Roman"/>
          <w:color w:val="959595"/>
          <w:sz w:val="24"/>
          <w:szCs w:val="24"/>
          <w:lang w:eastAsia="tr-TR"/>
        </w:rPr>
        <w:t xml:space="preserve"> Konut Yapı Kooperatifi arasında …/…/2010 </w:t>
      </w:r>
      <w:proofErr w:type="gramStart"/>
      <w:r w:rsidRPr="00B11139">
        <w:rPr>
          <w:rFonts w:ascii="Open Sans" w:eastAsia="Times New Roman" w:hAnsi="Open Sans" w:cs="Times New Roman"/>
          <w:color w:val="959595"/>
          <w:sz w:val="24"/>
          <w:szCs w:val="24"/>
          <w:lang w:eastAsia="tr-TR"/>
        </w:rPr>
        <w:t>tarihinde …</w:t>
      </w:r>
      <w:proofErr w:type="gramEnd"/>
      <w:r w:rsidRPr="00B11139">
        <w:rPr>
          <w:rFonts w:ascii="Open Sans" w:eastAsia="Times New Roman" w:hAnsi="Open Sans" w:cs="Times New Roman"/>
          <w:color w:val="959595"/>
          <w:sz w:val="24"/>
          <w:szCs w:val="24"/>
          <w:lang w:eastAsia="tr-TR"/>
        </w:rPr>
        <w:t xml:space="preserve"> Noterliği nezdinde “Düzenleme </w:t>
      </w:r>
      <w:proofErr w:type="gramStart"/>
      <w:r w:rsidRPr="00B11139">
        <w:rPr>
          <w:rFonts w:ascii="Open Sans" w:eastAsia="Times New Roman" w:hAnsi="Open Sans" w:cs="Times New Roman"/>
          <w:color w:val="959595"/>
          <w:sz w:val="24"/>
          <w:szCs w:val="24"/>
          <w:lang w:eastAsia="tr-TR"/>
        </w:rPr>
        <w:t>Şeklinde …</w:t>
      </w:r>
      <w:proofErr w:type="gramEnd"/>
      <w:r w:rsidRPr="00B11139">
        <w:rPr>
          <w:rFonts w:ascii="Open Sans" w:eastAsia="Times New Roman" w:hAnsi="Open Sans" w:cs="Times New Roman"/>
          <w:color w:val="959595"/>
          <w:sz w:val="24"/>
          <w:szCs w:val="24"/>
          <w:lang w:eastAsia="tr-TR"/>
        </w:rPr>
        <w:t xml:space="preserve"> İnşaat Yapım İşi Sözleşmesi” imzalandığı </w:t>
      </w:r>
      <w:proofErr w:type="gramStart"/>
      <w:r w:rsidRPr="00B11139">
        <w:rPr>
          <w:rFonts w:ascii="Open Sans" w:eastAsia="Times New Roman" w:hAnsi="Open Sans" w:cs="Times New Roman"/>
          <w:color w:val="959595"/>
          <w:sz w:val="24"/>
          <w:szCs w:val="24"/>
          <w:lang w:eastAsia="tr-TR"/>
        </w:rPr>
        <w:t>ve …</w:t>
      </w:r>
      <w:proofErr w:type="gramEnd"/>
      <w:r w:rsidRPr="00B11139">
        <w:rPr>
          <w:rFonts w:ascii="Open Sans" w:eastAsia="Times New Roman" w:hAnsi="Open Sans" w:cs="Times New Roman"/>
          <w:color w:val="959595"/>
          <w:sz w:val="24"/>
          <w:szCs w:val="24"/>
          <w:lang w:eastAsia="tr-TR"/>
        </w:rPr>
        <w:t xml:space="preserve"> Konut Yapı Kooperatifi ile şirketiniz arasında …/…/2017 tarihinde “… İşleri Taşeron Sözleşmesi” imzalandığı anlaşılmıştır.</w:t>
      </w:r>
    </w:p>
    <w:p w:rsidR="00B11139" w:rsidRPr="00B11139" w:rsidRDefault="00B11139" w:rsidP="00B11139">
      <w:pPr>
        <w:shd w:val="clear" w:color="auto" w:fill="FFFFFF"/>
        <w:spacing w:after="0" w:line="240" w:lineRule="auto"/>
        <w:jc w:val="both"/>
        <w:rPr>
          <w:rFonts w:ascii="Open Sans" w:eastAsia="Times New Roman" w:hAnsi="Open Sans" w:cs="Times New Roman"/>
          <w:color w:val="959595"/>
          <w:sz w:val="24"/>
          <w:szCs w:val="24"/>
          <w:lang w:eastAsia="tr-TR"/>
        </w:rPr>
      </w:pPr>
      <w:r w:rsidRPr="00B11139">
        <w:rPr>
          <w:rFonts w:ascii="Open Sans" w:eastAsia="Times New Roman" w:hAnsi="Open Sans" w:cs="Times New Roman"/>
          <w:color w:val="959595"/>
          <w:sz w:val="24"/>
          <w:szCs w:val="24"/>
          <w:lang w:eastAsia="tr-TR"/>
        </w:rPr>
        <w:t xml:space="preserve">Buna göre, … Konut Yapı Kooperatifi ile şirketiniz aranızda düzenlenen “… İşleri Taşeron Sözleşmesi”nin …/…/2010 tarihli “Düzenleme </w:t>
      </w:r>
      <w:proofErr w:type="gramStart"/>
      <w:r w:rsidRPr="00B11139">
        <w:rPr>
          <w:rFonts w:ascii="Open Sans" w:eastAsia="Times New Roman" w:hAnsi="Open Sans" w:cs="Times New Roman"/>
          <w:color w:val="959595"/>
          <w:sz w:val="24"/>
          <w:szCs w:val="24"/>
          <w:lang w:eastAsia="tr-TR"/>
        </w:rPr>
        <w:t>Şeklinde …</w:t>
      </w:r>
      <w:proofErr w:type="gramEnd"/>
      <w:r w:rsidRPr="00B11139">
        <w:rPr>
          <w:rFonts w:ascii="Open Sans" w:eastAsia="Times New Roman" w:hAnsi="Open Sans" w:cs="Times New Roman"/>
          <w:color w:val="959595"/>
          <w:sz w:val="24"/>
          <w:szCs w:val="24"/>
          <w:lang w:eastAsia="tr-TR"/>
        </w:rPr>
        <w:t xml:space="preserve"> Kat Karşılığı İnşaat Yapım İşi Sözleşmesi” ile ilgili olduğunun ilgili belediyeden alınacak bir yazıyla tevsik edilmesi halinde, söz konusu taşeron sözleşmesine 488 sayılı Damga Vergisi Kanununa ekli (1) sayılı tablonun I/A-15 fıkrası hükmü gereğince damga vergisi nispetinin “0” sıfır olarak uygulanması mümkün bulunmaktadır.</w:t>
      </w:r>
    </w:p>
    <w:p w:rsidR="00B11139" w:rsidRPr="00B11139" w:rsidRDefault="00B11139" w:rsidP="00B11139">
      <w:pPr>
        <w:shd w:val="clear" w:color="auto" w:fill="FFFFFF"/>
        <w:spacing w:after="0" w:line="240" w:lineRule="auto"/>
        <w:jc w:val="both"/>
        <w:rPr>
          <w:rFonts w:ascii="Open Sans" w:eastAsia="Times New Roman" w:hAnsi="Open Sans" w:cs="Times New Roman"/>
          <w:color w:val="959595"/>
          <w:sz w:val="24"/>
          <w:szCs w:val="24"/>
          <w:lang w:eastAsia="tr-TR"/>
        </w:rPr>
      </w:pPr>
      <w:r w:rsidRPr="00B11139">
        <w:rPr>
          <w:rFonts w:ascii="Open Sans" w:eastAsia="Times New Roman" w:hAnsi="Open Sans" w:cs="Times New Roman"/>
          <w:color w:val="959595"/>
          <w:sz w:val="24"/>
          <w:szCs w:val="24"/>
          <w:lang w:eastAsia="tr-TR"/>
        </w:rPr>
        <w:t>Bilgi edinilmesini rica ederim.</w:t>
      </w:r>
    </w:p>
    <w:p w:rsidR="004D53FC" w:rsidRPr="00B11139" w:rsidRDefault="004D53FC" w:rsidP="00B11139">
      <w:pPr>
        <w:jc w:val="both"/>
        <w:rPr>
          <w:sz w:val="24"/>
          <w:szCs w:val="24"/>
        </w:rPr>
      </w:pPr>
    </w:p>
    <w:sectPr w:rsidR="004D53FC" w:rsidRPr="00B11139" w:rsidSect="004D53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1139"/>
    <w:rsid w:val="001C4503"/>
    <w:rsid w:val="004D53FC"/>
    <w:rsid w:val="00B11139"/>
    <w:rsid w:val="00B759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3FC"/>
  </w:style>
  <w:style w:type="paragraph" w:styleId="Balk1">
    <w:name w:val="heading 1"/>
    <w:basedOn w:val="Normal"/>
    <w:link w:val="Balk1Char"/>
    <w:uiPriority w:val="9"/>
    <w:qFormat/>
    <w:rsid w:val="00B11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139"/>
    <w:rPr>
      <w:rFonts w:ascii="Times New Roman" w:eastAsia="Times New Roman" w:hAnsi="Times New Roman" w:cs="Times New Roman"/>
      <w:b/>
      <w:bCs/>
      <w:kern w:val="36"/>
      <w:sz w:val="48"/>
      <w:szCs w:val="48"/>
      <w:lang w:eastAsia="tr-TR"/>
    </w:rPr>
  </w:style>
  <w:style w:type="character" w:customStyle="1" w:styleId="time">
    <w:name w:val="time"/>
    <w:basedOn w:val="VarsaylanParagrafYazTipi"/>
    <w:rsid w:val="00B11139"/>
  </w:style>
  <w:style w:type="paragraph" w:styleId="NormalWeb">
    <w:name w:val="Normal (Web)"/>
    <w:basedOn w:val="Normal"/>
    <w:uiPriority w:val="99"/>
    <w:semiHidden/>
    <w:unhideWhenUsed/>
    <w:rsid w:val="00B111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11139"/>
    <w:rPr>
      <w:b/>
      <w:bCs/>
    </w:rPr>
  </w:style>
</w:styles>
</file>

<file path=word/webSettings.xml><?xml version="1.0" encoding="utf-8"?>
<w:webSettings xmlns:r="http://schemas.openxmlformats.org/officeDocument/2006/relationships" xmlns:w="http://schemas.openxmlformats.org/wordprocessingml/2006/main">
  <w:divs>
    <w:div w:id="1144276004">
      <w:bodyDiv w:val="1"/>
      <w:marLeft w:val="0"/>
      <w:marRight w:val="0"/>
      <w:marTop w:val="0"/>
      <w:marBottom w:val="0"/>
      <w:divBdr>
        <w:top w:val="none" w:sz="0" w:space="0" w:color="auto"/>
        <w:left w:val="none" w:sz="0" w:space="0" w:color="auto"/>
        <w:bottom w:val="none" w:sz="0" w:space="0" w:color="auto"/>
        <w:right w:val="none" w:sz="0" w:space="0" w:color="auto"/>
      </w:divBdr>
      <w:divsChild>
        <w:div w:id="201751028">
          <w:marLeft w:val="0"/>
          <w:marRight w:val="0"/>
          <w:marTop w:val="0"/>
          <w:marBottom w:val="165"/>
          <w:divBdr>
            <w:top w:val="none" w:sz="0" w:space="0" w:color="auto"/>
            <w:left w:val="none" w:sz="0" w:space="0" w:color="auto"/>
            <w:bottom w:val="none" w:sz="0" w:space="0" w:color="auto"/>
            <w:right w:val="none" w:sz="0" w:space="0" w:color="auto"/>
          </w:divBdr>
        </w:div>
        <w:div w:id="79568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2022-08-15T12:36:00Z</dcterms:created>
  <dcterms:modified xsi:type="dcterms:W3CDTF">2022-08-15T12:45:00Z</dcterms:modified>
</cp:coreProperties>
</file>