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24" w:rsidRPr="001172A7" w:rsidRDefault="00022524" w:rsidP="00022524">
      <w:pPr>
        <w:pStyle w:val="Balk1"/>
        <w:shd w:val="clear" w:color="auto" w:fill="FFFFFF"/>
        <w:spacing w:before="0"/>
        <w:textAlignment w:val="bottom"/>
        <w:rPr>
          <w:rFonts w:ascii="Arial" w:hAnsi="Arial" w:cs="Arial"/>
          <w:color w:val="C00000"/>
          <w:sz w:val="26"/>
          <w:szCs w:val="26"/>
        </w:rPr>
      </w:pPr>
      <w:proofErr w:type="gramStart"/>
      <w:r w:rsidRPr="001172A7">
        <w:rPr>
          <w:rFonts w:ascii="Arial" w:hAnsi="Arial" w:cs="Arial"/>
          <w:color w:val="C00000"/>
          <w:sz w:val="26"/>
          <w:szCs w:val="26"/>
        </w:rPr>
        <w:t>Şikayet</w:t>
      </w:r>
      <w:proofErr w:type="gramEnd"/>
      <w:r w:rsidRPr="001172A7">
        <w:rPr>
          <w:rFonts w:ascii="Arial" w:hAnsi="Arial" w:cs="Arial"/>
          <w:color w:val="C00000"/>
          <w:sz w:val="26"/>
          <w:szCs w:val="26"/>
        </w:rPr>
        <w:t xml:space="preserve"> Dilekçesi</w:t>
      </w:r>
    </w:p>
    <w:p w:rsid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b/>
          <w:bCs/>
          <w:color w:val="2E2E2E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,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suç duyurusu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olarak da tanımlanan yazılı bir belgedir. İnsanlar istemedikleri durumlarla karşı karşıya kaldıklarında ya da yanlış bir olayın gerçekleştiğine şahit olduklarında emniyet güçlerini durumdan haberdar edebilmek için 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yazabilirler.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 yazılmasının amacı olayın ilgili makamlara taşınması ve bu sayede suçluların ve suça karışan kişilerin cezalandırılmasını sağlamaktır. Peki,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dilekçesi nasıl yazılır?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 Nasıl Yazılır?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mutlaka muhatap olan kurumun adına yazılmalıdır. Durumun açık ve net bir şekilde açıklanması için dilekçenin örneğin internet üzerinden ya da ilgili kurumdan alınmalıdır. 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dilekçesinin üzerinde şikayette bulunan kişinin adı ve soyadı mutlaka yazmalıdır. 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dilekçesinin hazırlanma amacı suçun teşkil edildiğini göstermektir. Bu nedenle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suç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teşkil etmeyen bir olay hakkında dilekçe yazmak geri dönme nedenidir.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2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2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 Hazırlanırken Nelere Dikkat Edilmeli?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 dilekçesini hazırlamadan önce eylemin suç teşkil edip etmediğinin tespit edilmesi gerekir. Bunun için avukatlardan destek almak en doğru yöntemdir. Bazen suç teşkil ettiği düşünülerek verilmiş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lan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bir dilekçe savcılık tarafından taraflar arasındaki ilişkinin ticari olmasından dolayı hukuk mahkemelerinde çözülmesi gerektiğinden dolayı takipsizlik kararı verilebilir.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dilekçesinde suç açık bir şekilde tarif edilmelidir. Eğer yapılan açıklamada suç yanlış bir şekilde vasıflandırılmış ise bu durumda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Cumhuriyet Savcısı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ortada bir suçun var olduğunu tespit eder ve şüphelenirse iddianamesini sizin belirttiğiniz yönde olmasa bile kanun maddelerine göre düzenler. 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hazırlandıktan sonra ister kolluk güçlerine istenirse Cumhuriyet Savcılığına verilebilir. Eğer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 kolluk güçlerine verilirse bu durumda kolluk güçleri (polis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yada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Jandarma) hemen savcılığa durumu bildirmeleri gerekir.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 Örneği</w:t>
      </w:r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jc w:val="center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proofErr w:type="gramStart"/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….</w:t>
      </w:r>
      <w:proofErr w:type="gramEnd"/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 xml:space="preserve"> CUMHURİYET BAŞSAVCILIĞINA,</w:t>
      </w:r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Şikayetçi : 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….</w:t>
      </w:r>
      <w:proofErr w:type="gramEnd"/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Vekili : 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…..</w:t>
      </w:r>
      <w:proofErr w:type="gramEnd"/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Şüpheli :</w:t>
      </w:r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 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….</w:t>
      </w:r>
      <w:proofErr w:type="gramEnd"/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Suç/Suçlar :</w:t>
      </w:r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 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(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Suçun mahiyetinin belirlenmesi etkin soruşturma için çok önemlidir. )</w:t>
      </w:r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Suç Tarihi :</w:t>
      </w:r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 (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Şikayete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tabi suçlarda şikayet süresi açısından önemlidir.)</w:t>
      </w:r>
    </w:p>
    <w:p w:rsidR="007A4C1A" w:rsidRPr="007A4C1A" w:rsidRDefault="007A4C1A" w:rsidP="007A4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proofErr w:type="gramStart"/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Açıklamalar :</w:t>
      </w:r>
      <w:proofErr w:type="gramEnd"/>
    </w:p>
    <w:p w:rsidR="007A4C1A" w:rsidRPr="007A4C1A" w:rsidRDefault="007A4C1A" w:rsidP="007A4C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200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lastRenderedPageBreak/>
        <w:t>(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Mağdurun başına gelen vakalar sırayla anlatılmalıdır. Örneğin ” … 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tarihinde …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kişisi müvekkilime ‘sen tam 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bir …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sın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‘diyerek </w:t>
      </w:r>
      <w:hyperlink r:id="rId5" w:history="1">
        <w:r w:rsidRPr="007A4C1A">
          <w:rPr>
            <w:rFonts w:ascii="Segoe UI" w:eastAsia="Times New Roman" w:hAnsi="Segoe UI" w:cs="Segoe UI"/>
            <w:color w:val="0000FF"/>
            <w:sz w:val="15"/>
            <w:u w:val="single"/>
            <w:lang w:eastAsia="tr-TR"/>
          </w:rPr>
          <w:t>hakaret</w:t>
        </w:r>
      </w:hyperlink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 etmiştir. ” şeklinde yazılabilir.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)</w:t>
      </w:r>
      <w:proofErr w:type="gramEnd"/>
    </w:p>
    <w:p w:rsidR="007A4C1A" w:rsidRPr="007A4C1A" w:rsidRDefault="007A4C1A" w:rsidP="007A4C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200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(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Ardından;  oluşan suçun kanundaki karşılığı yazılmalıdır, suç ile ilgili yüksek mahkeme içtihatlarına yer verilmelidir. Akabinde suçun kanuni unsurları açıklanarak suçun oluştuğu belirtilmelidir.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)</w:t>
      </w:r>
      <w:proofErr w:type="gramEnd"/>
    </w:p>
    <w:p w:rsidR="007A4C1A" w:rsidRPr="007A4C1A" w:rsidRDefault="007A4C1A" w:rsidP="007A4C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200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(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… 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nedenlerle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şikayetçi olma zaruretinin hasıl olduğu Savcılığa ya da ilgili birime arz edilmelidir.)</w:t>
      </w:r>
    </w:p>
    <w:p w:rsidR="007A4C1A" w:rsidRPr="007A4C1A" w:rsidRDefault="007A4C1A" w:rsidP="007A4C1A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Deliller :</w:t>
      </w:r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 (Mevcut deliller ya da araştırılması gereken deliller belirtilmelidir.)</w:t>
      </w:r>
    </w:p>
    <w:p w:rsidR="007A4C1A" w:rsidRPr="007A4C1A" w:rsidRDefault="007A4C1A" w:rsidP="007A4C1A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Hukuki Nedenler : </w:t>
      </w:r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TCK, CMK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.,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PVSK ya da ilgili mevzuat</w:t>
      </w:r>
    </w:p>
    <w:p w:rsidR="007A4C1A" w:rsidRPr="007A4C1A" w:rsidRDefault="007A4C1A" w:rsidP="007A4C1A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 xml:space="preserve">Netice Ve </w:t>
      </w:r>
      <w:proofErr w:type="gramStart"/>
      <w:r w:rsidRPr="007A4C1A">
        <w:rPr>
          <w:rFonts w:ascii="Segoe UI" w:eastAsia="Times New Roman" w:hAnsi="Segoe UI" w:cs="Segoe UI"/>
          <w:b/>
          <w:bCs/>
          <w:color w:val="4B4F58"/>
          <w:sz w:val="15"/>
          <w:lang w:eastAsia="tr-TR"/>
        </w:rPr>
        <w:t>Talep :</w:t>
      </w:r>
      <w:proofErr w:type="gramEnd"/>
    </w:p>
    <w:p w:rsidR="00022524" w:rsidRPr="007A4C1A" w:rsidRDefault="007A4C1A" w:rsidP="007A4C1A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FFFFFF"/>
        <w:spacing w:after="384" w:line="240" w:lineRule="auto"/>
        <w:jc w:val="both"/>
        <w:textAlignment w:val="baseline"/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</w:pPr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Yukarıda açıklanan ve </w:t>
      </w:r>
      <w:proofErr w:type="spell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re’sen</w:t>
      </w:r>
      <w:proofErr w:type="spell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takdir edilecek sebeplerle şikayetimizin kabul edilerek 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şüphelinin …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suçlar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 xml:space="preserve"> sebebiyle cezalandırılmasını vekaleten ve saygıyla arz ve talep ederiz. (</w:t>
      </w:r>
      <w:proofErr w:type="gramStart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..</w:t>
      </w:r>
      <w:proofErr w:type="gramEnd"/>
      <w:r w:rsidRPr="007A4C1A">
        <w:rPr>
          <w:rFonts w:ascii="Segoe UI" w:eastAsia="Times New Roman" w:hAnsi="Segoe UI" w:cs="Segoe UI"/>
          <w:color w:val="4B4F58"/>
          <w:sz w:val="15"/>
          <w:szCs w:val="15"/>
          <w:lang w:eastAsia="tr-TR"/>
        </w:rPr>
        <w:t>/../20..)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proofErr w:type="gramStart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 xml:space="preserve"> Dilekçesi</w:t>
      </w:r>
    </w:p>
    <w:p w:rsid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Arial" w:eastAsia="Times New Roman" w:hAnsi="Arial" w:cs="Arial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proofErr w:type="spell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Cimer</w:t>
      </w:r>
      <w:proofErr w:type="spell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 Örneği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CİMER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, Cumhurbaşkanlığı İletişim Merkezi anlamına gelen, yazılımı Başbakanlık Bilgi İşlem Daire Başkanlığı tarafından 2006 yılında yapılmış olan internet sitesidir. </w:t>
      </w:r>
      <w:proofErr w:type="spell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CİMER’e</w:t>
      </w:r>
      <w:proofErr w:type="spell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herkes başvuruda bulunabilir. Aşağıdaki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dilekçe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örneğin doldurularak resmi internet sitesi üzerinden gerekli 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başvurusu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yapılabilir.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b/>
          <w:bCs/>
          <w:color w:val="2E2E2E"/>
          <w:sz w:val="24"/>
          <w:szCs w:val="24"/>
          <w:lang w:eastAsia="tr-TR"/>
        </w:rPr>
        <w:t>TC CUMHURBAŞKANLIĞI İLETİŞİM MAKAMINA;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0"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 xml:space="preserve">Cumhurbaşkanlığı Külliyesi 06550 </w:t>
      </w:r>
      <w:proofErr w:type="spellStart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Beştepe</w:t>
      </w:r>
      <w:proofErr w:type="spellEnd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 xml:space="preserve"> – ANKARA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b/>
          <w:bCs/>
          <w:color w:val="2E2E2E"/>
          <w:sz w:val="24"/>
          <w:szCs w:val="24"/>
          <w:lang w:eastAsia="tr-TR"/>
        </w:rPr>
        <w:t>Başvuran:</w:t>
      </w:r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 xml:space="preserve"> Ad, </w:t>
      </w:r>
      <w:proofErr w:type="spellStart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soyad</w:t>
      </w:r>
      <w:proofErr w:type="spellEnd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, adres ve iletişim bilgileri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b/>
          <w:bCs/>
          <w:color w:val="2E2E2E"/>
          <w:sz w:val="24"/>
          <w:szCs w:val="24"/>
          <w:lang w:eastAsia="tr-TR"/>
        </w:rPr>
        <w:t>Talep Konusu: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b/>
          <w:bCs/>
          <w:color w:val="2E2E2E"/>
          <w:sz w:val="24"/>
          <w:szCs w:val="24"/>
          <w:lang w:eastAsia="tr-TR"/>
        </w:rPr>
        <w:t>Açıklamalar: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0"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 xml:space="preserve">1- (Bu </w:t>
      </w:r>
      <w:proofErr w:type="spellStart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kısıma</w:t>
      </w:r>
      <w:proofErr w:type="spellEnd"/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 xml:space="preserve"> gerekli açıklamalar maddeler halinde yazılmalıdır.)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0"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2- …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b/>
          <w:bCs/>
          <w:color w:val="2E2E2E"/>
          <w:sz w:val="24"/>
          <w:szCs w:val="24"/>
          <w:lang w:eastAsia="tr-TR"/>
        </w:rPr>
        <w:t>Sonuç ve Talep:</w:t>
      </w:r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 Yukarıda belirtilen nedenlerle ilgili sorunun giderilmesi</w:t>
      </w:r>
    </w:p>
    <w:p w:rsidR="00022524" w:rsidRPr="00022524" w:rsidRDefault="00022524" w:rsidP="0002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0" w:after="0" w:line="240" w:lineRule="auto"/>
        <w:jc w:val="both"/>
        <w:textAlignment w:val="bottom"/>
        <w:rPr>
          <w:rFonts w:ascii="Arial" w:eastAsia="Times New Roman" w:hAnsi="Arial" w:cs="Arial"/>
          <w:color w:val="2E2E2E"/>
          <w:sz w:val="24"/>
          <w:szCs w:val="24"/>
          <w:lang w:eastAsia="tr-TR"/>
        </w:rPr>
      </w:pPr>
      <w:r w:rsidRPr="00022524">
        <w:rPr>
          <w:rFonts w:ascii="Arial" w:eastAsia="Times New Roman" w:hAnsi="Arial" w:cs="Arial"/>
          <w:color w:val="2E2E2E"/>
          <w:sz w:val="24"/>
          <w:szCs w:val="24"/>
          <w:lang w:eastAsia="tr-TR"/>
        </w:rPr>
        <w:t>Saygılarımla arz ve talep ederim …/…/…</w:t>
      </w:r>
    </w:p>
    <w:p w:rsid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Arial" w:eastAsia="Times New Roman" w:hAnsi="Arial" w:cs="Arial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Savcılık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Savcılık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</w:t>
      </w:r>
      <w:hyperlink r:id="rId6" w:history="1">
        <w:r w:rsidRPr="001172A7">
          <w:rPr>
            <w:rFonts w:ascii="Times New Roman" w:eastAsia="Times New Roman" w:hAnsi="Times New Roman" w:cs="Times New Roman"/>
            <w:b/>
            <w:bCs/>
            <w:color w:val="004F56"/>
            <w:sz w:val="24"/>
            <w:szCs w:val="24"/>
            <w:lang w:eastAsia="tr-TR"/>
          </w:rPr>
          <w:t>suç duyurusu</w:t>
        </w:r>
      </w:hyperlink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 olarak da tanımlanabilir. Yukarıda belirtilmiş olan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dilekçesi örneği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n doldurularak kolluk güçlerine ya da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Cumhuriyet Savcılığına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 teslim edilmesi sürecin başlatılması için yeterli olacaktır. Her savcılık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dilekçesinin kabul edilmesi gibi bir durum söz konusu değildir.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Şikayetin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mutlaka suç olarak tanımlanmış olması gerekir.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SGK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SGK, Sosyal Güvenlik Kurumunun kısaltılmasıdır. İşle ilgili herhangi bir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durumunda dilekçe yazılarak sürecin takibi sağlanır. SGK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dilekçesi yazılırken avukatlara danışmak ve avukatın gerekli görmesi durumunda dava açılması için sürecin başlatılmasını sağlar.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SGK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yalnızca çekişmeli bir davanın açılması halinde yazılabilir.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MEB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lastRenderedPageBreak/>
        <w:t>MEB, Milli Eğitim Bakanlığının kısaltılmasıdır. Milli Eğitim Bakanlığına yapılacak olan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MEB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işleyiş ya da farklı herhangi bir konu üzerinde talep ve önerileri kapsayabilir.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İçişleri Bakanlığı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Türk vatandaşları ve Türkiye’ de ikamet eden yabancılar, 3071 sayılı Dilekçe Kanunu gereğince, kendileri ya da kamu ile ilgili dilek ve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şikayetleri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hakkında, İçişleri Bakanlığına veya ilgili birimlerine dilekçe yazabilirler.</w:t>
      </w:r>
    </w:p>
    <w:p w:rsidR="00022524" w:rsidRPr="001172A7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outlineLvl w:val="3"/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</w:pPr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Siber Suçlar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004F56"/>
          <w:sz w:val="24"/>
          <w:szCs w:val="24"/>
          <w:lang w:eastAsia="tr-TR"/>
        </w:rPr>
        <w:t xml:space="preserve"> Dilekçesi</w:t>
      </w:r>
    </w:p>
    <w:p w:rsidR="00022524" w:rsidRPr="00022524" w:rsidRDefault="00022524" w:rsidP="00022524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</w:pP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İnternet ve bilişim sistemlerinin giderek daha fazla kullanılmış olması bu alanda işlenen suçlarında artmasına </w:t>
      </w:r>
      <w:proofErr w:type="gramStart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imkan</w:t>
      </w:r>
      <w:proofErr w:type="gramEnd"/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 xml:space="preserve"> sağlamıştır. İnternet üzerinden işlenmiş olan suçlara karşı ilgili mercileri kapsayacak şekilde </w:t>
      </w:r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siber suçlar </w:t>
      </w:r>
      <w:proofErr w:type="gramStart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>şikayet</w:t>
      </w:r>
      <w:proofErr w:type="gramEnd"/>
      <w:r w:rsidRPr="001172A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tr-TR"/>
        </w:rPr>
        <w:t xml:space="preserve"> dilekçesi</w:t>
      </w:r>
      <w:r w:rsidRPr="00022524">
        <w:rPr>
          <w:rFonts w:ascii="Times New Roman" w:eastAsia="Times New Roman" w:hAnsi="Times New Roman" w:cs="Times New Roman"/>
          <w:color w:val="2E2E2E"/>
          <w:sz w:val="24"/>
          <w:szCs w:val="24"/>
          <w:lang w:eastAsia="tr-TR"/>
        </w:rPr>
        <w:t> yazılabilir.</w:t>
      </w:r>
    </w:p>
    <w:p w:rsidR="004B3F3F" w:rsidRPr="001172A7" w:rsidRDefault="004B3F3F">
      <w:pPr>
        <w:rPr>
          <w:rFonts w:ascii="Times New Roman" w:hAnsi="Times New Roman" w:cs="Times New Roman"/>
          <w:sz w:val="24"/>
          <w:szCs w:val="24"/>
        </w:rPr>
      </w:pPr>
    </w:p>
    <w:sectPr w:rsidR="004B3F3F" w:rsidRPr="001172A7" w:rsidSect="004B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5CCE"/>
    <w:multiLevelType w:val="multilevel"/>
    <w:tmpl w:val="3D3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22524"/>
    <w:rsid w:val="00022524"/>
    <w:rsid w:val="001172A7"/>
    <w:rsid w:val="004B3F3F"/>
    <w:rsid w:val="00676457"/>
    <w:rsid w:val="007A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3F"/>
  </w:style>
  <w:style w:type="paragraph" w:styleId="Balk1">
    <w:name w:val="heading 1"/>
    <w:basedOn w:val="Normal"/>
    <w:next w:val="Normal"/>
    <w:link w:val="Balk1Char"/>
    <w:uiPriority w:val="9"/>
    <w:qFormat/>
    <w:rsid w:val="00022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022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22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022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2252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2252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225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2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2524"/>
    <w:rPr>
      <w:b/>
      <w:bCs/>
    </w:rPr>
  </w:style>
  <w:style w:type="paragraph" w:customStyle="1" w:styleId="wp-caption-text">
    <w:name w:val="wp-caption-text"/>
    <w:basedOn w:val="Normal"/>
    <w:rsid w:val="0002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52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as-text-align-center">
    <w:name w:val="has-text-align-center"/>
    <w:basedOn w:val="Normal"/>
    <w:rsid w:val="007A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A4C1A"/>
    <w:rPr>
      <w:color w:val="0000FF"/>
      <w:u w:val="single"/>
    </w:rPr>
  </w:style>
  <w:style w:type="paragraph" w:customStyle="1" w:styleId="has-text-align-justify">
    <w:name w:val="has-text-align-justify"/>
    <w:basedOn w:val="Normal"/>
    <w:rsid w:val="007A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53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rusta.av.tr/suc-duyurusu-dilekcesi/" TargetMode="External"/><Relationship Id="rId5" Type="http://schemas.openxmlformats.org/officeDocument/2006/relationships/hyperlink" Target="https://sarikayakarayhukuk.com/hakaret-sucu-ve-cezasi-tck-1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2022-08-17T08:01:00Z</dcterms:created>
  <dcterms:modified xsi:type="dcterms:W3CDTF">2022-08-17T08:15:00Z</dcterms:modified>
</cp:coreProperties>
</file>