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75757"/>
        </w:rPr>
      </w:pPr>
      <w:r w:rsidRPr="008465DD">
        <w:rPr>
          <w:rFonts w:ascii="DejaVuSerif" w:hAnsi="DejaVuSerif" w:cs="Arial"/>
          <w:b/>
          <w:bCs/>
          <w:color w:val="0000FF"/>
        </w:rPr>
        <w:t xml:space="preserve">Ayrılan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üyelere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 xml:space="preserve"> ait olan ve yeni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üyelere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 xml:space="preserve"> devredilmek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üzere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 xml:space="preserve">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geçici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 xml:space="preserve"> olarak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koop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 xml:space="preserve">. </w:t>
      </w:r>
      <w:proofErr w:type="gramStart"/>
      <w:r w:rsidRPr="008465DD">
        <w:rPr>
          <w:rFonts w:ascii="DejaVuSerif" w:hAnsi="DejaVuSerif" w:cs="Arial"/>
          <w:b/>
          <w:bCs/>
          <w:color w:val="0000FF"/>
        </w:rPr>
        <w:t>tarafından</w:t>
      </w:r>
      <w:proofErr w:type="gramEnd"/>
      <w:r w:rsidRPr="008465DD">
        <w:rPr>
          <w:rFonts w:ascii="DejaVuSerif" w:hAnsi="DejaVuSerif" w:cs="Arial"/>
          <w:b/>
          <w:bCs/>
          <w:color w:val="0000FF"/>
        </w:rPr>
        <w:t xml:space="preserve"> devralınan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üyelik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 xml:space="preserve"> haklarının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satışının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 xml:space="preserve"> ortak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dışı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 xml:space="preserve">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işlem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 xml:space="preserve"> sayılıp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sayılmayacağı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 xml:space="preserve"> </w:t>
      </w:r>
      <w:proofErr w:type="spellStart"/>
      <w:r w:rsidRPr="008465DD">
        <w:rPr>
          <w:rFonts w:ascii="DejaVuSerif" w:hAnsi="DejaVuSerif" w:cs="Arial"/>
          <w:b/>
          <w:bCs/>
          <w:color w:val="0000FF"/>
        </w:rPr>
        <w:t>hk</w:t>
      </w:r>
      <w:proofErr w:type="spellEnd"/>
      <w:r w:rsidRPr="008465DD">
        <w:rPr>
          <w:rFonts w:ascii="DejaVuSerif" w:hAnsi="DejaVuSerif" w:cs="Arial"/>
          <w:b/>
          <w:bCs/>
          <w:color w:val="0000FF"/>
        </w:rPr>
        <w:t>.</w:t>
      </w:r>
    </w:p>
    <w:p w:rsidR="008465DD" w:rsidRDefault="008465DD" w:rsidP="008465D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75757"/>
          <w:sz w:val="21"/>
          <w:szCs w:val="21"/>
        </w:rPr>
      </w:pPr>
      <w:r>
        <w:rPr>
          <w:rFonts w:ascii="DejaVuSerif" w:hAnsi="DejaVuSerif" w:cs="Arial"/>
          <w:color w:val="575757"/>
          <w:sz w:val="20"/>
          <w:szCs w:val="20"/>
        </w:rPr>
        <w:t xml:space="preserve">Sayı: </w:t>
      </w:r>
      <w:proofErr w:type="gramStart"/>
      <w:r>
        <w:rPr>
          <w:rFonts w:ascii="DejaVuSerif" w:hAnsi="DejaVuSerif" w:cs="Arial"/>
          <w:color w:val="575757"/>
          <w:sz w:val="20"/>
          <w:szCs w:val="20"/>
        </w:rPr>
        <w:t>50426076</w:t>
      </w:r>
      <w:proofErr w:type="gramEnd"/>
      <w:r>
        <w:rPr>
          <w:rFonts w:ascii="DejaVuSerif" w:hAnsi="DejaVuSerif" w:cs="Arial"/>
          <w:color w:val="575757"/>
          <w:sz w:val="20"/>
          <w:szCs w:val="20"/>
        </w:rPr>
        <w:t>-125[4-2013/20-226]-62 Tarih:</w:t>
      </w:r>
      <w:r>
        <w:rPr>
          <w:rFonts w:ascii="Arial" w:hAnsi="Arial" w:cs="Arial"/>
          <w:color w:val="575757"/>
          <w:sz w:val="20"/>
          <w:szCs w:val="20"/>
        </w:rPr>
        <w:br/>
      </w:r>
      <w:r>
        <w:rPr>
          <w:rFonts w:ascii="DejaVuSerif" w:hAnsi="DejaVuSerif" w:cs="Arial"/>
          <w:color w:val="575757"/>
          <w:sz w:val="20"/>
          <w:szCs w:val="20"/>
        </w:rPr>
        <w:t>24/04/2014</w:t>
      </w:r>
    </w:p>
    <w:p w:rsidR="008465DD" w:rsidRDefault="008465DD" w:rsidP="008465DD">
      <w:pPr>
        <w:pStyle w:val="NormalWeb"/>
        <w:shd w:val="clear" w:color="auto" w:fill="FFFFFF"/>
        <w:spacing w:before="0" w:beforeAutospacing="0"/>
        <w:jc w:val="center"/>
        <w:rPr>
          <w:rFonts w:ascii="DejaVuSerif" w:hAnsi="DejaVuSerif" w:cs="Arial"/>
          <w:b/>
          <w:bCs/>
          <w:color w:val="575757"/>
          <w:sz w:val="18"/>
          <w:szCs w:val="18"/>
        </w:rPr>
      </w:pPr>
      <w:r>
        <w:rPr>
          <w:rFonts w:ascii="DejaVuSerif" w:hAnsi="DejaVuSerif" w:cs="Arial"/>
          <w:b/>
          <w:bCs/>
          <w:color w:val="575757"/>
          <w:sz w:val="18"/>
          <w:szCs w:val="18"/>
        </w:rPr>
        <w:t>T.C.</w:t>
      </w:r>
      <w:r>
        <w:rPr>
          <w:rFonts w:ascii="Arial" w:hAnsi="Arial" w:cs="Arial"/>
          <w:b/>
          <w:bCs/>
          <w:color w:val="575757"/>
          <w:sz w:val="18"/>
          <w:szCs w:val="18"/>
        </w:rPr>
        <w:br/>
      </w:r>
      <w:r>
        <w:rPr>
          <w:rFonts w:ascii="DejaVuSerif" w:hAnsi="DejaVuSerif" w:cs="Arial"/>
          <w:b/>
          <w:bCs/>
          <w:color w:val="575757"/>
          <w:sz w:val="18"/>
          <w:szCs w:val="18"/>
        </w:rPr>
        <w:t>GELİR İDARESİ BAŞKANLIĞI</w:t>
      </w:r>
      <w:r>
        <w:rPr>
          <w:rFonts w:ascii="Arial" w:hAnsi="Arial" w:cs="Arial"/>
          <w:b/>
          <w:bCs/>
          <w:color w:val="575757"/>
          <w:sz w:val="18"/>
          <w:szCs w:val="18"/>
        </w:rPr>
        <w:br/>
      </w:r>
      <w:r>
        <w:rPr>
          <w:rFonts w:ascii="DejaVuSerif" w:hAnsi="DejaVuSerif" w:cs="Arial"/>
          <w:b/>
          <w:bCs/>
          <w:color w:val="575757"/>
          <w:sz w:val="18"/>
          <w:szCs w:val="18"/>
        </w:rPr>
        <w:t xml:space="preserve">KAYSERİ VERGİ DAİRESİ BAŞKANLIĞI </w:t>
      </w:r>
    </w:p>
    <w:p w:rsidR="008465DD" w:rsidRDefault="008465DD" w:rsidP="008465DD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575757"/>
          <w:sz w:val="21"/>
          <w:szCs w:val="21"/>
        </w:rPr>
      </w:pPr>
      <w:r>
        <w:rPr>
          <w:rFonts w:ascii="DejaVuSerif" w:hAnsi="DejaVuSerif" w:cs="Arial"/>
          <w:b/>
          <w:bCs/>
          <w:color w:val="575757"/>
          <w:sz w:val="18"/>
          <w:szCs w:val="18"/>
        </w:rPr>
        <w:t>(</w:t>
      </w:r>
      <w:proofErr w:type="spellStart"/>
      <w:r>
        <w:rPr>
          <w:rFonts w:ascii="DejaVuSerif" w:hAnsi="DejaVuSerif" w:cs="Arial"/>
          <w:b/>
          <w:bCs/>
          <w:color w:val="575757"/>
          <w:sz w:val="18"/>
          <w:szCs w:val="18"/>
        </w:rPr>
        <w:t>Mükellef</w:t>
      </w:r>
      <w:proofErr w:type="spellEnd"/>
      <w:r>
        <w:rPr>
          <w:rFonts w:ascii="DejaVuSerif" w:hAnsi="DejaVuSerif" w:cs="Arial"/>
          <w:b/>
          <w:bCs/>
          <w:color w:val="575757"/>
          <w:sz w:val="18"/>
          <w:szCs w:val="18"/>
        </w:rPr>
        <w:t xml:space="preserve"> Hizmetleri Grup </w:t>
      </w:r>
      <w:proofErr w:type="spellStart"/>
      <w:r>
        <w:rPr>
          <w:rFonts w:ascii="DejaVuSerif" w:hAnsi="DejaVuSerif" w:cs="Arial"/>
          <w:b/>
          <w:bCs/>
          <w:color w:val="575757"/>
          <w:sz w:val="18"/>
          <w:szCs w:val="18"/>
        </w:rPr>
        <w:t>Müdürlüğü</w:t>
      </w:r>
      <w:proofErr w:type="spellEnd"/>
      <w:r>
        <w:rPr>
          <w:rFonts w:ascii="DejaVuSerif" w:hAnsi="DejaVuSerif" w:cs="Arial"/>
          <w:b/>
          <w:bCs/>
          <w:color w:val="575757"/>
          <w:sz w:val="18"/>
          <w:szCs w:val="18"/>
        </w:rPr>
        <w:t>)</w:t>
      </w:r>
    </w:p>
    <w:p w:rsidR="008465DD" w:rsidRDefault="008465DD" w:rsidP="008465DD">
      <w:pPr>
        <w:pStyle w:val="NormalWeb"/>
        <w:shd w:val="clear" w:color="auto" w:fill="FFFFFF"/>
        <w:spacing w:before="0" w:beforeAutospacing="0"/>
        <w:rPr>
          <w:rFonts w:ascii="DejaVuSerif" w:hAnsi="DejaVuSerif" w:cs="Arial"/>
          <w:color w:val="575757"/>
          <w:sz w:val="18"/>
          <w:szCs w:val="18"/>
        </w:rPr>
      </w:pPr>
    </w:p>
    <w:p w:rsidR="008465DD" w:rsidRDefault="008465DD" w:rsidP="008465D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75757"/>
          <w:sz w:val="21"/>
          <w:szCs w:val="21"/>
        </w:rPr>
      </w:pPr>
      <w:proofErr w:type="gramStart"/>
      <w:r>
        <w:rPr>
          <w:rFonts w:ascii="DejaVuSerif" w:hAnsi="DejaVuSerif" w:cs="Arial"/>
          <w:color w:val="575757"/>
          <w:sz w:val="18"/>
          <w:szCs w:val="18"/>
        </w:rPr>
        <w:t>Sayı : 50426076</w:t>
      </w:r>
      <w:proofErr w:type="gramEnd"/>
      <w:r>
        <w:rPr>
          <w:rFonts w:ascii="DejaVuSerif" w:hAnsi="DejaVuSerif" w:cs="Arial"/>
          <w:color w:val="575757"/>
          <w:sz w:val="18"/>
          <w:szCs w:val="18"/>
        </w:rPr>
        <w:t>-125[4-2013/20-226]-62</w:t>
      </w:r>
      <w:r>
        <w:rPr>
          <w:rFonts w:ascii="Arial" w:hAnsi="Arial" w:cs="Arial"/>
          <w:color w:val="575757"/>
          <w:sz w:val="18"/>
          <w:szCs w:val="18"/>
        </w:rPr>
        <w:br/>
      </w:r>
      <w:r>
        <w:rPr>
          <w:rFonts w:ascii="DejaVuSerif" w:hAnsi="DejaVuSerif" w:cs="Arial"/>
          <w:color w:val="575757"/>
          <w:sz w:val="18"/>
          <w:szCs w:val="18"/>
        </w:rPr>
        <w:t xml:space="preserve">Konu : Ayrılan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üyelere</w:t>
      </w:r>
      <w:proofErr w:type="spellEnd"/>
      <w:r>
        <w:rPr>
          <w:rFonts w:ascii="DejaVuSerif" w:hAnsi="DejaVuSerif" w:cs="Arial"/>
          <w:color w:val="575757"/>
          <w:sz w:val="18"/>
          <w:szCs w:val="18"/>
        </w:rPr>
        <w:t xml:space="preserve"> ait olan ve yeni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üyelere</w:t>
      </w:r>
      <w:proofErr w:type="spellEnd"/>
      <w:r>
        <w:rPr>
          <w:rFonts w:ascii="DejaVuSerif" w:hAnsi="DejaVuSerif" w:cs="Arial"/>
          <w:color w:val="575757"/>
          <w:sz w:val="18"/>
          <w:szCs w:val="18"/>
        </w:rPr>
        <w:t xml:space="preserve"> devredilmek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üzere</w:t>
      </w:r>
      <w:proofErr w:type="spellEnd"/>
      <w:r>
        <w:rPr>
          <w:rFonts w:ascii="Arial" w:hAnsi="Arial" w:cs="Arial"/>
          <w:color w:val="575757"/>
          <w:sz w:val="21"/>
          <w:szCs w:val="21"/>
        </w:rPr>
        <w:t xml:space="preserve">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geçici</w:t>
      </w:r>
      <w:proofErr w:type="spellEnd"/>
      <w:r>
        <w:rPr>
          <w:rFonts w:ascii="DejaVuSerif" w:hAnsi="DejaVuSerif" w:cs="Arial"/>
          <w:color w:val="575757"/>
          <w:sz w:val="18"/>
          <w:szCs w:val="18"/>
        </w:rPr>
        <w:t xml:space="preserve"> olarak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koop</w:t>
      </w:r>
      <w:proofErr w:type="spellEnd"/>
      <w:r>
        <w:rPr>
          <w:rFonts w:ascii="DejaVuSerif" w:hAnsi="DejaVuSerif" w:cs="Arial"/>
          <w:color w:val="575757"/>
          <w:sz w:val="18"/>
          <w:szCs w:val="18"/>
        </w:rPr>
        <w:t xml:space="preserve">. </w:t>
      </w:r>
      <w:proofErr w:type="gramStart"/>
      <w:r>
        <w:rPr>
          <w:rFonts w:ascii="DejaVuSerif" w:hAnsi="DejaVuSerif" w:cs="Arial"/>
          <w:color w:val="575757"/>
          <w:sz w:val="18"/>
          <w:szCs w:val="18"/>
        </w:rPr>
        <w:t>tarafından</w:t>
      </w:r>
      <w:proofErr w:type="gramEnd"/>
      <w:r>
        <w:rPr>
          <w:rFonts w:ascii="DejaVuSerif" w:hAnsi="DejaVuSerif" w:cs="Arial"/>
          <w:color w:val="575757"/>
          <w:sz w:val="18"/>
          <w:szCs w:val="18"/>
        </w:rPr>
        <w:t xml:space="preserve"> devralınan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üyelik</w:t>
      </w:r>
      <w:proofErr w:type="spellEnd"/>
      <w:r>
        <w:rPr>
          <w:rFonts w:ascii="DejaVuSerif" w:hAnsi="DejaVuSerif" w:cs="Arial"/>
          <w:color w:val="575757"/>
          <w:sz w:val="18"/>
          <w:szCs w:val="18"/>
        </w:rPr>
        <w:t xml:space="preserve"> haklarının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satışının</w:t>
      </w:r>
      <w:proofErr w:type="spellEnd"/>
      <w:r>
        <w:rPr>
          <w:rFonts w:ascii="DejaVuSerif" w:hAnsi="DejaVuSerif" w:cs="Arial"/>
          <w:color w:val="575757"/>
          <w:sz w:val="18"/>
          <w:szCs w:val="18"/>
        </w:rPr>
        <w:t xml:space="preserve"> ortak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dışı</w:t>
      </w:r>
      <w:proofErr w:type="spellEnd"/>
      <w:r>
        <w:rPr>
          <w:rFonts w:ascii="DejaVuSerif" w:hAnsi="DejaVuSerif" w:cs="Arial"/>
          <w:color w:val="575757"/>
          <w:sz w:val="18"/>
          <w:szCs w:val="18"/>
        </w:rPr>
        <w:t xml:space="preserve">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işlem</w:t>
      </w:r>
      <w:proofErr w:type="spellEnd"/>
      <w:r>
        <w:rPr>
          <w:rFonts w:ascii="DejaVuSerif" w:hAnsi="DejaVuSerif" w:cs="Arial"/>
          <w:color w:val="575757"/>
          <w:sz w:val="18"/>
          <w:szCs w:val="18"/>
        </w:rPr>
        <w:t xml:space="preserve"> sayılıp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sayılmayacağı</w:t>
      </w:r>
      <w:proofErr w:type="spellEnd"/>
      <w:r>
        <w:rPr>
          <w:rFonts w:ascii="DejaVuSerif" w:hAnsi="DejaVuSerif" w:cs="Arial"/>
          <w:color w:val="575757"/>
          <w:sz w:val="18"/>
          <w:szCs w:val="18"/>
        </w:rPr>
        <w:t xml:space="preserve"> </w:t>
      </w:r>
      <w:proofErr w:type="spellStart"/>
      <w:r>
        <w:rPr>
          <w:rFonts w:ascii="DejaVuSerif" w:hAnsi="DejaVuSerif" w:cs="Arial"/>
          <w:color w:val="575757"/>
          <w:sz w:val="18"/>
          <w:szCs w:val="18"/>
        </w:rPr>
        <w:t>hk</w:t>
      </w:r>
      <w:proofErr w:type="spellEnd"/>
      <w:r>
        <w:rPr>
          <w:rFonts w:ascii="DejaVuSerif" w:hAnsi="DejaVuSerif" w:cs="Arial"/>
          <w:color w:val="575757"/>
          <w:sz w:val="18"/>
          <w:szCs w:val="18"/>
        </w:rPr>
        <w:t>.</w:t>
      </w:r>
    </w:p>
    <w:p w:rsidR="008465DD" w:rsidRDefault="008465DD" w:rsidP="008465D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75757"/>
          <w:sz w:val="21"/>
          <w:szCs w:val="21"/>
        </w:rPr>
      </w:pPr>
      <w:proofErr w:type="gramStart"/>
      <w:r>
        <w:rPr>
          <w:rFonts w:ascii="DejaVuSerif" w:hAnsi="DejaVuSerif" w:cs="Arial"/>
          <w:color w:val="575757"/>
          <w:sz w:val="18"/>
          <w:szCs w:val="18"/>
        </w:rPr>
        <w:t>24/04/2014</w:t>
      </w:r>
      <w:proofErr w:type="gramEnd"/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proofErr w:type="spellStart"/>
      <w:proofErr w:type="gramStart"/>
      <w:r w:rsidRPr="008465DD">
        <w:rPr>
          <w:rFonts w:ascii="DejaVuSerif" w:hAnsi="DejaVuSerif" w:cs="Arial"/>
          <w:color w:val="575757"/>
          <w:sz w:val="28"/>
          <w:szCs w:val="28"/>
        </w:rPr>
        <w:t>İlgide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kayıtlı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özelge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talep formunun incelenmesinden, Kooperatifinizin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üyelerine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sosyal konut yapmak amacıyla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kurulmuş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kurumlar vergisinden muaf bir kooperatif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olduğu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5341 adet sosyal konut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inşa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ettiği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5341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üyesi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bulunduğu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ancak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üyelerinizden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141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kişinin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ödeme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imkânsızlığı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nedeniyle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üyelikten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ayrıldığı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bu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üyelere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ayrılış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tarihine kadar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ödemiş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oldukları aidatlarının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ödendiği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Kooperatifiniz adına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geçici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olarak devralınan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üyelik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haklarının en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yüksek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giriş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aidatını verecek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kişilere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devredileceğinden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bahisle, bu durumun ortak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dışı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işlem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sayılıp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sayılmayacağı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ile kurumlar vergisi muafiyetinizin devam edip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etmeyeceği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hususlarında,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Başkanlığımız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görüşünün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talep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edildiği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anlaşılmaktadır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>.</w:t>
      </w:r>
      <w:proofErr w:type="gramEnd"/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r w:rsidRPr="008465DD">
        <w:rPr>
          <w:rFonts w:ascii="DejaVuSerif" w:hAnsi="DejaVuSerif" w:cs="Arial"/>
          <w:color w:val="575757"/>
          <w:sz w:val="28"/>
          <w:szCs w:val="28"/>
        </w:rPr>
        <w:t xml:space="preserve">5520 sayılı Kurumlar Vergisi Kanununun 2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nci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maddesinin ikinci fıkrasında kooperatifler kurumlar </w:t>
      </w:r>
      <w:proofErr w:type="gramStart"/>
      <w:r w:rsidRPr="008465DD">
        <w:rPr>
          <w:rFonts w:ascii="DejaVuSerif" w:hAnsi="DejaVuSerif" w:cs="Arial"/>
          <w:color w:val="575757"/>
          <w:sz w:val="28"/>
          <w:szCs w:val="28"/>
        </w:rPr>
        <w:t xml:space="preserve">vergisi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mu</w:t>
      </w:r>
      <w:proofErr w:type="gramEnd"/>
      <w:r w:rsidRPr="008465DD">
        <w:rPr>
          <w:rFonts w:ascii="DejaVuSerif" w:hAnsi="DejaVuSerif" w:cs="Arial"/>
          <w:color w:val="575757"/>
          <w:sz w:val="28"/>
          <w:szCs w:val="28"/>
        </w:rPr>
        <w:t>̈kellefleri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arasında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sayılmış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; aynı Kanunun 4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üncü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maddesinin birinci fıkrasının (k) bendinde,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tüketim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taşımacılık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kooperatifleri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hariç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olmak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ana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sözleşmelerinde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sermaye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üzerinden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kazanç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dağıtılmaması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yönetim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kurulu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başkan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üyelerine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kazanç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üzerinden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pay verilmemesi, yedek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akçelerin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ortaklara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dağıtılmaması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sadece ortaklar ile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görülmesine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(Yapı kooperatiflerinin kendilerine ait arsalarını kat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karşılığı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vererek her bir hisse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için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bir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yeri veya konut elde etmeleri ortak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dışı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işlem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sayılmaz.)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ilişkin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hükümler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bulunup, bu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hükümlere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fiilen uyan kooperatifler ile bu kayıt ve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şartlara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ek olarak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kuruluşundan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inşaatın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bitim tarihine kadar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yönetim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denetim kurullarında,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söz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konusu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inşaat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işlerini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kısmen veya tamamen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üstlenen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gerçek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kişilerle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tüzel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kişi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temsilcilerine veya Kanunun 13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üncü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maddesine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göre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bunlarla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ilişkili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olduğu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kabul edilen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kişilere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veya yukarıda sayılanlarla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işçi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işveren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ilişkisi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içinde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bulunanlara yer vermeyen ve yapı ruhsatı ile arsa tapusu kooperatif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tüzel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kişiliği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adına tescil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edilmiş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olan yapı kooperatiflerinin kurumlar vergisinden muaf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olduğu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hükme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bağlanmıştır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>.</w:t>
      </w:r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r w:rsidRPr="008465DD">
        <w:rPr>
          <w:rFonts w:ascii="DejaVuSerif" w:hAnsi="DejaVuSerif" w:cs="Arial"/>
          <w:color w:val="575757"/>
          <w:sz w:val="28"/>
          <w:szCs w:val="28"/>
        </w:rPr>
        <w:lastRenderedPageBreak/>
        <w:t xml:space="preserve">Konu ile ilgili olarak 1 seri no.lu Kurumlar Vergisi Genel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Tebliğinin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"4.13. Kooperatifler"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başlıklı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bölümünde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detaylı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açıklamalara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yer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verilmiş</w:t>
      </w:r>
      <w:proofErr w:type="gramStart"/>
      <w:r w:rsidRPr="008465DD">
        <w:rPr>
          <w:rFonts w:ascii="DejaVuSerif" w:hAnsi="DejaVuSerif" w:cs="Arial"/>
          <w:color w:val="575757"/>
          <w:sz w:val="28"/>
          <w:szCs w:val="28"/>
        </w:rPr>
        <w:t>tir</w:t>
      </w:r>
      <w:proofErr w:type="spellEnd"/>
      <w:proofErr w:type="gramEnd"/>
      <w:r w:rsidRPr="008465DD">
        <w:rPr>
          <w:rFonts w:ascii="DejaVuSerif" w:hAnsi="DejaVuSerif" w:cs="Arial"/>
          <w:color w:val="575757"/>
          <w:sz w:val="28"/>
          <w:szCs w:val="28"/>
        </w:rPr>
        <w:t>.</w:t>
      </w:r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proofErr w:type="spellStart"/>
      <w:proofErr w:type="gramStart"/>
      <w:r w:rsidRPr="008465DD">
        <w:rPr>
          <w:rFonts w:ascii="DejaVuSerif" w:hAnsi="DejaVuSerif" w:cs="Arial"/>
          <w:color w:val="575757"/>
          <w:sz w:val="28"/>
          <w:szCs w:val="28"/>
        </w:rPr>
        <w:t>Öte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yandan, 1163 sayılı Kooperatifler Kanununun 1 inci maddesinde, kooperatiflerin ortaklarının belirli ekonomik menfaatlerini ve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özellikle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meslek veya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geçimlerine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ait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ihtiyaçlarını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işgücü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parasal katkılarıyla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karşılıklı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yardım,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dayanışma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kefalet suretiyle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sağlayıp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korumak amacıyla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gerçek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tüzel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kişiler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tarafından kurulan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değişir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ortaklı ve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değişir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sermayeli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teşekküller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olduğu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; aynı Kanunun 17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nci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maddesinde de, kooperatiften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çıkan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veya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çıkarılan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ortakların kendilerinin yahut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mirasçılarının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kooperatif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varlığı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üzerinde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haklarının olup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olmadığı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bu hakların nelerden ibaret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bulunduğu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hususlarının ana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sözleşmede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gösterileceği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; bu hakların, yedek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akçeler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hariç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olmak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ortağın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ayrıldığı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yıl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bilançosuna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göre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hesaplanacağı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hüküm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altına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alınmıştır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>.</w:t>
      </w:r>
      <w:proofErr w:type="gramEnd"/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r w:rsidRPr="008465DD">
        <w:rPr>
          <w:rFonts w:ascii="DejaVuSerif" w:hAnsi="DejaVuSerif" w:cs="Arial"/>
          <w:color w:val="575757"/>
          <w:sz w:val="28"/>
          <w:szCs w:val="28"/>
        </w:rPr>
        <w:t xml:space="preserve">Aynı Kanunun "Hak ve vecibelerde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eşitlik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"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başlıklı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23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üncü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maddesinde ise ortakların bu Kanunun kabul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ettiği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esaslar dahilinde hak ve vecibelerde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eşit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oldukları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belirtilmiş</w:t>
      </w:r>
      <w:proofErr w:type="gramStart"/>
      <w:r w:rsidRPr="008465DD">
        <w:rPr>
          <w:rFonts w:ascii="DejaVuSerif" w:hAnsi="DejaVuSerif" w:cs="Arial"/>
          <w:color w:val="575757"/>
          <w:sz w:val="28"/>
          <w:szCs w:val="28"/>
        </w:rPr>
        <w:t>tir</w:t>
      </w:r>
      <w:proofErr w:type="spellEnd"/>
      <w:proofErr w:type="gramEnd"/>
      <w:r w:rsidRPr="008465DD">
        <w:rPr>
          <w:rFonts w:ascii="DejaVuSerif" w:hAnsi="DejaVuSerif" w:cs="Arial"/>
          <w:color w:val="575757"/>
          <w:sz w:val="28"/>
          <w:szCs w:val="28"/>
        </w:rPr>
        <w:t>.</w:t>
      </w:r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r w:rsidRPr="008465DD">
        <w:rPr>
          <w:rFonts w:ascii="DejaVuSerif" w:hAnsi="DejaVuSerif" w:cs="Arial"/>
          <w:color w:val="575757"/>
          <w:sz w:val="28"/>
          <w:szCs w:val="28"/>
        </w:rPr>
        <w:t xml:space="preserve">Buna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göre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kooperatiflere sonradan alınacak ortaklardan, eski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ortağın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ödediği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meblağın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üzerinde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bir para talep edilmesiyle, 1163 sayılı Kanunun 23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üncü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maddesi uyarınca ortaklık payının enflasyondan kaynaklanan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değer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artışından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dolayı eski ortakların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kazanılmış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haklarının korunmasının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amaçlandığı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görülmektedir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. Bu bakımdan, yeni giren ortaklardan alınan ilave paraların, kooperatifin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amaçlarının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gerçekleşmesini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sağlamak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arsa, alt yapı,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inşaat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ve benzeri giderlerde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değerlendirilmesi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gerekmektedir.</w:t>
      </w:r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proofErr w:type="gramStart"/>
      <w:r w:rsidRPr="008465DD">
        <w:rPr>
          <w:rFonts w:ascii="DejaVuSerif" w:hAnsi="DejaVuSerif" w:cs="Arial"/>
          <w:color w:val="575757"/>
          <w:sz w:val="28"/>
          <w:szCs w:val="28"/>
        </w:rPr>
        <w:t xml:space="preserve">Dolayısıyla,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ödeme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imkânsızlığı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nedeniyle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üyelikten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ayrılan 141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ortağın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hissesine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tekabül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eden paylarının, yedek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akçeler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hariç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olmak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ortağın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ayrıldığı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yıl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bilançosuna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göre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hesaplanan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değeri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üzerinden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Kooperatifiniz tarafından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geçici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olarak devralınması ile bu ortakların yerine kooperatife yeni alınacak ortaklardan enflasyondan kaynaklanan nedenlerden dolayı eski ortakların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ödediği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meblağın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üzerinde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alınan fark bedellerinin, kooperatif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amaçlarının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gerçekleştirilmesi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için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kullanılması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şartıyla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bu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işlemler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Kooperatifinizin kurumlar vergisi muafiyetini etkilemeyecektir.</w:t>
      </w:r>
      <w:proofErr w:type="gramEnd"/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r w:rsidRPr="008465DD">
        <w:rPr>
          <w:rFonts w:ascii="DejaVuSerif" w:hAnsi="DejaVuSerif" w:cs="Arial"/>
          <w:color w:val="575757"/>
          <w:sz w:val="28"/>
          <w:szCs w:val="28"/>
        </w:rPr>
        <w:t xml:space="preserve">Ancak, kooperatifin konut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inşaatlarını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tamamlaması neticesinde konutların kooperatif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üyelerine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ferdileştirme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yapılmak suretiyle teslim edilmesinden sonra 141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ortağın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hissesine isabet eden ve kooperatifin elinde kalan konutların, yeni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üye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kaydı yapılarak devredilmesi halinde; bu devir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işlemi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üçüncü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kişilere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yapılmış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bir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satış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olarak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değerlendirilecek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olup; 5520 sayılı Kanunun 4/1-k maddesinde yer alan muafiyet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şartlarından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"sadece ortaklarla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görülmesi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"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şartı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ihlal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edilmiş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olacağından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Kooperatifinizin muafiyet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şartının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ihlal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edildiği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tarih itibariyle kurumlar </w:t>
      </w:r>
      <w:proofErr w:type="gramStart"/>
      <w:r w:rsidRPr="008465DD">
        <w:rPr>
          <w:rFonts w:ascii="DejaVuSerif" w:hAnsi="DejaVuSerif" w:cs="Arial"/>
          <w:color w:val="575757"/>
          <w:sz w:val="28"/>
          <w:szCs w:val="28"/>
        </w:rPr>
        <w:t xml:space="preserve">vergisi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mu</w:t>
      </w:r>
      <w:proofErr w:type="gramEnd"/>
      <w:r w:rsidRPr="008465DD">
        <w:rPr>
          <w:rFonts w:ascii="DejaVuSerif" w:hAnsi="DejaVuSerif" w:cs="Arial"/>
          <w:color w:val="575757"/>
          <w:sz w:val="28"/>
          <w:szCs w:val="28"/>
        </w:rPr>
        <w:t>̈kellefiyetinin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tesis edilmesi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gerektiği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tabiidir.</w:t>
      </w:r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r w:rsidRPr="008465DD">
        <w:rPr>
          <w:rFonts w:ascii="DejaVuSerif" w:hAnsi="DejaVuSerif" w:cs="Arial"/>
          <w:color w:val="575757"/>
          <w:sz w:val="28"/>
          <w:szCs w:val="28"/>
        </w:rPr>
        <w:lastRenderedPageBreak/>
        <w:t>Bilgi edinilmesini rica ederim.</w:t>
      </w:r>
    </w:p>
    <w:p w:rsid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DejaVuSerif" w:hAnsi="DejaVuSerif" w:cs="Arial"/>
          <w:color w:val="575757"/>
          <w:sz w:val="28"/>
          <w:szCs w:val="28"/>
        </w:rPr>
      </w:pPr>
      <w:r w:rsidRPr="008465DD">
        <w:rPr>
          <w:rFonts w:ascii="DejaVuSerif" w:hAnsi="DejaVuSerif" w:cs="Arial"/>
          <w:color w:val="575757"/>
          <w:sz w:val="28"/>
          <w:szCs w:val="28"/>
        </w:rPr>
        <w:t>(</w:t>
      </w:r>
      <w:r w:rsidRPr="008465DD">
        <w:rPr>
          <w:rFonts w:ascii="DejaVuSerif" w:hAnsi="DejaVuSerif" w:cs="Arial"/>
          <w:b/>
          <w:bCs/>
          <w:color w:val="575757"/>
          <w:sz w:val="28"/>
          <w:szCs w:val="28"/>
        </w:rPr>
        <w:t>*</w:t>
      </w:r>
      <w:r w:rsidRPr="008465DD">
        <w:rPr>
          <w:rFonts w:ascii="DejaVuSerif" w:hAnsi="DejaVuSerif" w:cs="Arial"/>
          <w:color w:val="575757"/>
          <w:sz w:val="28"/>
          <w:szCs w:val="28"/>
        </w:rPr>
        <w:t xml:space="preserve">) Bu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Özelge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213 sayılı Vergi Usul Kanununun 413.maddesine dayanılarak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verilmiş</w:t>
      </w:r>
      <w:proofErr w:type="gramStart"/>
      <w:r w:rsidRPr="008465DD">
        <w:rPr>
          <w:rFonts w:ascii="DejaVuSerif" w:hAnsi="DejaVuSerif" w:cs="Arial"/>
          <w:color w:val="575757"/>
          <w:sz w:val="28"/>
          <w:szCs w:val="28"/>
        </w:rPr>
        <w:t>tir</w:t>
      </w:r>
      <w:proofErr w:type="spellEnd"/>
      <w:proofErr w:type="gramEnd"/>
      <w:r w:rsidRPr="008465DD">
        <w:rPr>
          <w:rFonts w:ascii="DejaVuSerif" w:hAnsi="DejaVuSerif" w:cs="Arial"/>
          <w:color w:val="575757"/>
          <w:sz w:val="28"/>
          <w:szCs w:val="28"/>
        </w:rPr>
        <w:t>.</w:t>
      </w:r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r w:rsidRPr="008465DD">
        <w:rPr>
          <w:rFonts w:ascii="Arial" w:hAnsi="Arial" w:cs="Arial"/>
          <w:color w:val="575757"/>
          <w:sz w:val="28"/>
          <w:szCs w:val="28"/>
        </w:rPr>
        <w:br/>
      </w:r>
      <w:r w:rsidRPr="008465DD">
        <w:rPr>
          <w:rFonts w:ascii="DejaVuSerif" w:hAnsi="DejaVuSerif" w:cs="Arial"/>
          <w:color w:val="575757"/>
          <w:sz w:val="28"/>
          <w:szCs w:val="28"/>
        </w:rPr>
        <w:t>(</w:t>
      </w:r>
      <w:r w:rsidRPr="008465DD">
        <w:rPr>
          <w:rFonts w:ascii="DejaVuSerif" w:hAnsi="DejaVuSerif" w:cs="Arial"/>
          <w:b/>
          <w:bCs/>
          <w:color w:val="575757"/>
          <w:sz w:val="28"/>
          <w:szCs w:val="28"/>
        </w:rPr>
        <w:t>**</w:t>
      </w:r>
      <w:r w:rsidRPr="008465DD">
        <w:rPr>
          <w:rFonts w:ascii="DejaVuSerif" w:hAnsi="DejaVuSerif" w:cs="Arial"/>
          <w:color w:val="575757"/>
          <w:sz w:val="28"/>
          <w:szCs w:val="28"/>
        </w:rPr>
        <w:t xml:space="preserve">)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İnceleme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yargı ya da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uzlaşmada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olduğu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halde bu konuya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ilişkin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olarak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yanlış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bilgi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verilmiş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ise</w:t>
      </w:r>
      <w:r>
        <w:rPr>
          <w:rFonts w:ascii="Arial" w:hAnsi="Arial" w:cs="Arial"/>
          <w:color w:val="575757"/>
          <w:sz w:val="28"/>
          <w:szCs w:val="28"/>
        </w:rPr>
        <w:t xml:space="preserve"> </w:t>
      </w:r>
      <w:r w:rsidRPr="008465DD">
        <w:rPr>
          <w:rFonts w:ascii="DejaVuSerif" w:hAnsi="DejaVuSerif" w:cs="Arial"/>
          <w:color w:val="575757"/>
          <w:sz w:val="28"/>
          <w:szCs w:val="28"/>
        </w:rPr>
        <w:t xml:space="preserve">bu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özelge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geçersizdir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>.</w:t>
      </w:r>
    </w:p>
    <w:p w:rsidR="008465DD" w:rsidRPr="008465DD" w:rsidRDefault="008465DD" w:rsidP="008465DD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  <w:sz w:val="28"/>
          <w:szCs w:val="28"/>
        </w:rPr>
      </w:pPr>
      <w:r w:rsidRPr="008465DD">
        <w:rPr>
          <w:rFonts w:ascii="DejaVuSerif" w:hAnsi="DejaVuSerif" w:cs="Arial"/>
          <w:color w:val="575757"/>
          <w:sz w:val="28"/>
          <w:szCs w:val="28"/>
        </w:rPr>
        <w:t xml:space="preserve">(***) Talebiniz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üzerine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tayin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edilmiş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olan bu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özelgeye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uygun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işlem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yapmanız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hâlinde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, bu fiilleriniz dolayısıyla vergi tarh edilmesi icap ederse, tarafınıza vergi cezası kesilmeyecek ve tarh edilen vergi </w:t>
      </w:r>
      <w:proofErr w:type="spellStart"/>
      <w:r w:rsidRPr="008465DD">
        <w:rPr>
          <w:rFonts w:ascii="DejaVuSerif" w:hAnsi="DejaVuSerif" w:cs="Arial"/>
          <w:color w:val="575757"/>
          <w:sz w:val="28"/>
          <w:szCs w:val="28"/>
        </w:rPr>
        <w:t>için</w:t>
      </w:r>
      <w:proofErr w:type="spellEnd"/>
      <w:r w:rsidRPr="008465DD">
        <w:rPr>
          <w:rFonts w:ascii="DejaVuSerif" w:hAnsi="DejaVuSerif" w:cs="Arial"/>
          <w:color w:val="575757"/>
          <w:sz w:val="28"/>
          <w:szCs w:val="28"/>
        </w:rPr>
        <w:t xml:space="preserve"> gecikme faizi hesaplanmayacaktır.</w:t>
      </w:r>
    </w:p>
    <w:p w:rsidR="00704C4F" w:rsidRPr="008465DD" w:rsidRDefault="00704C4F" w:rsidP="008465DD">
      <w:pPr>
        <w:jc w:val="both"/>
        <w:rPr>
          <w:sz w:val="28"/>
          <w:szCs w:val="28"/>
        </w:rPr>
      </w:pPr>
    </w:p>
    <w:sectPr w:rsidR="00704C4F" w:rsidRPr="008465DD" w:rsidSect="00704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jaVu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5DD"/>
    <w:rsid w:val="00704C4F"/>
    <w:rsid w:val="0084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C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2022-09-01T08:27:00Z</dcterms:created>
  <dcterms:modified xsi:type="dcterms:W3CDTF">2022-09-01T08:29:00Z</dcterms:modified>
</cp:coreProperties>
</file>