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A8" w:rsidRDefault="009468A8" w:rsidP="009468A8">
      <w:pPr>
        <w:spacing w:after="100" w:afterAutospacing="1" w:line="240" w:lineRule="auto"/>
        <w:rPr>
          <w:rFonts w:ascii="Arial" w:eastAsia="Times New Roman" w:hAnsi="Arial" w:cs="Arial"/>
          <w:color w:val="575757"/>
          <w:sz w:val="21"/>
          <w:szCs w:val="21"/>
          <w:lang w:eastAsia="tr-TR"/>
        </w:rPr>
      </w:pP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Kooperatife ait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taşınmazın kurulması düşünülen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vakfa devredilmesi işleminin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harçlardan, veraset ve intikal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vergisinden muaf olup olmadığı </w:t>
      </w:r>
      <w:proofErr w:type="spellStart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hk</w:t>
      </w:r>
      <w:proofErr w:type="spellEnd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.</w:t>
      </w:r>
      <w:r w:rsidRPr="009468A8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</w:p>
    <w:p w:rsidR="009468A8" w:rsidRDefault="009468A8" w:rsidP="009468A8">
      <w:pPr>
        <w:spacing w:after="100" w:afterAutospacing="1" w:line="240" w:lineRule="auto"/>
        <w:jc w:val="center"/>
        <w:rPr>
          <w:rFonts w:ascii="Arial" w:eastAsia="Times New Roman" w:hAnsi="Arial" w:cs="Arial"/>
          <w:color w:val="575757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t>Sayı: </w:t>
      </w:r>
      <w:proofErr w:type="gramStart"/>
      <w:r w:rsidRPr="009468A8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978957</w:t>
      </w: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t>01</w:t>
      </w:r>
      <w:proofErr w:type="gramEnd"/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t>-140[57-2012/213]-753</w:t>
      </w: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Tarih: </w:t>
      </w:r>
      <w:r w:rsidRPr="009468A8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21/05/2013</w:t>
      </w:r>
      <w:r w:rsidRPr="009468A8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 </w:t>
      </w:r>
      <w:r w:rsidRPr="009468A8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  <w:r w:rsidRPr="009468A8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>T.C.</w:t>
      </w:r>
      <w:r w:rsidRPr="009468A8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  <w:t>GELİR İDARESİ BAŞKANLIĞI</w:t>
      </w:r>
      <w:r w:rsidRPr="009468A8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  <w:t> İSTANBUL VERGİ DAİRESİ BAŞKANLIĞI</w:t>
      </w:r>
      <w:r w:rsidRPr="009468A8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  <w:t>(Mükellef Hizmetleri Diğer Vergiler Grup Müdürlüğü)</w:t>
      </w:r>
      <w:r w:rsidRPr="009468A8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 </w:t>
      </w:r>
    </w:p>
    <w:p w:rsidR="009468A8" w:rsidRDefault="009468A8" w:rsidP="009468A8">
      <w:pPr>
        <w:spacing w:after="100" w:afterAutospacing="1" w:line="240" w:lineRule="auto"/>
        <w:rPr>
          <w:rFonts w:ascii="Arial" w:eastAsia="Times New Roman" w:hAnsi="Arial" w:cs="Arial"/>
          <w:color w:val="575757"/>
          <w:sz w:val="21"/>
          <w:szCs w:val="21"/>
          <w:lang w:eastAsia="tr-TR"/>
        </w:rPr>
      </w:pPr>
      <w:r w:rsidRPr="009468A8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  <w:proofErr w:type="gramStart"/>
      <w:r w:rsidRPr="009468A8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Sayı :97895701</w:t>
      </w:r>
      <w:proofErr w:type="gramEnd"/>
      <w:r w:rsidRPr="009468A8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-140[57-2012/213]-753 21/05/2013</w:t>
      </w:r>
      <w:r w:rsidRPr="009468A8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Konu :Kooperatife ait taşınmazın kurulması düşünülen vakfa  </w:t>
      </w:r>
      <w:r w:rsidRPr="009468A8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devredilmesi işleminin harçlardan, veraset ve intikal</w:t>
      </w:r>
      <w:r w:rsidRPr="009468A8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vergisinden muaf olup olmadığı</w:t>
      </w:r>
    </w:p>
    <w:p w:rsidR="009468A8" w:rsidRDefault="009468A8" w:rsidP="009468A8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9468A8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 </w:t>
      </w:r>
      <w:r w:rsidRPr="009468A8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            İlgi'de kayıtlı </w:t>
      </w:r>
      <w:proofErr w:type="spellStart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</w:t>
      </w:r>
      <w:proofErr w:type="spellEnd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talep formunda, Kooperatif Birliği ola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rak tasfiye sürecinde olduğunuz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belirtilerek, Birliğinizin sahip olduğu taşınmazların kurulacak v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akfa devri ile ilgili yapılacak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işlemlerin veraset ve intikal vergisinden, tapuda yapılacak tescil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işlemlerinin tapu harcından ve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diğer resmi ödemelerden muaf olup olmadığı hususunda b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ilgi verilmesi istenilmektedir.</w:t>
      </w:r>
    </w:p>
    <w:p w:rsidR="009468A8" w:rsidRDefault="009468A8" w:rsidP="009468A8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            I. 492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SAYILI HARÇLAR KANUNU YÖNÜNDEN</w:t>
      </w:r>
    </w:p>
    <w:p w:rsidR="009468A8" w:rsidRDefault="009468A8" w:rsidP="009468A8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            </w:t>
      </w:r>
      <w:proofErr w:type="gramStart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Bilindiği üzere, 492 sayılı Harçlar Kanununa bağlı (4) sayılı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tarifenin ‘I-Tapu İşlemleri'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başlıklı bölümünün 4 üncü maddesinde, gayrimenkullerin ve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mülkiyetten gayri ayni hakların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bağışlanmasında kayıtlı değer üzerinden binde 68,31 (2013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yılı için); aynı tarifenin 20/a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maddesinde ise, gayrimenkullerin ivaz karşılığında veya ölünce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ye kadar bakma akdine dayanarak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yahut trampa hükümlerine göre devir ve iktisabında gayrimenkulü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n beyan edilen devir ve iktisap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bedelinden az olmamak üzere emlak vergisi değeri üzerinde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n (cebri icra ve şüyuun izalesi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hallerinde satış bedeli, </w:t>
      </w:r>
      <w:proofErr w:type="spellStart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istimlaklarda</w:t>
      </w:r>
      <w:proofErr w:type="spellEnd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takdir edilen bedel üzerinden) devir eden ve devir alan için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ayrı </w:t>
      </w:r>
      <w:proofErr w:type="spellStart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ayrı</w:t>
      </w:r>
      <w:proofErr w:type="spellEnd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binde 20 (2013 yılı için) nispetinde harç alınacağı hükme bağlanmıştır.</w:t>
      </w:r>
      <w:proofErr w:type="gramEnd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            Öte yandan, aynı Kanunun 58 inci maddesinde, tapu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harçlarının kimlerden aranacağı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açıklanmış; ‘Harçtan müstesna işlemler' başlıklı 59 uncu maddes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inin (b) bendinde ise, Bakanlar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Kurulunca vergi muafiyeti tanınan vakıfların iktisap edecekler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 gayrimenkullerin ve sair ayni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hakların tescil ve şerhi gerektiren işlemlerinin harçtan müstesna tutuld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uğu hüküm altına alınmıştır.</w:t>
      </w:r>
    </w:p>
    <w:p w:rsidR="009468A8" w:rsidRDefault="009468A8" w:rsidP="009468A8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            Buna göre, söz konusu vakfın Bakanlar Kurulu Kararı ile v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ergi muafiyeti tanınan vakıflar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kapsamına alınmış olması durumunda, vakfın harç mu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afiyetinden yararlanması mümkün olabilecektir.</w:t>
      </w:r>
    </w:p>
    <w:p w:rsidR="009468A8" w:rsidRDefault="009468A8" w:rsidP="009468A8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            Diğer taraftan, kooperatif birliklerinin sahip oldukları gayrimenk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ullerin devri ile ilgili olarak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492 sayılı Harçlar Kanununda herhangi bir muafiyet hük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mü bulunmamaktadır.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      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Bu itibarla, devir işleminin bağış şeklinde yapılması durumunda, gayrimenkullerin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lastRenderedPageBreak/>
        <w:t>bağışlanmasında harcın mükellefi tapuda lehine işlem yapılan kiş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iler olduğundan, gayrimenkulünü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bağışlayan Kooperatif Birliğinizden harç aranılmayacak; lehine işlem tesis edilecek vakıftan ise, 492sayılı Harçlar Kanununa bağlı (4) sayılı tarifenin I/4 üncü maddes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ine göre harç aranılması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gerekecektir. Ancak söz konusu vakfın Bakanlar Kurulu Kararı ile vergi muafiyeti tanınan vakıflar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kapsamına alınmış olması durumunda, vakıftan da harç aranılmaması gerekir.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           Devir işleminin ivaz karşılığında yapılması durumunda is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e, hem Kooperatif Birliğinizden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hem de söz konusu vakıftan 492 sayılı Kanuna bağlı (4) sayılı tarifen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in I/20-a maddesi uyarınca harç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aranılması gerekecektir. Ancak vakfın Bakanlar Kurulu Kararı ile v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ergi muafiyeti tanınan vakıflar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kapsamına alınmış olması durumunda söz konusu vakı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ftan harç aranılmaması gerekir.</w:t>
      </w:r>
    </w:p>
    <w:p w:rsidR="009468A8" w:rsidRDefault="009468A8" w:rsidP="009468A8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            </w:t>
      </w:r>
      <w:proofErr w:type="gramStart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II. 7338 SAYILI VERASET VE İNTİKAL VERGİSİ KANUNU YÖNÜNDEN         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            7338 sayılı Veraset ve İntikal Vergisi Kanunu'nun 1'inci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maddesinde, Türkiye Cumhuriyeti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tabiiyetinde bulunan şahıslara ait mallar ile Türkiye'de buluna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n malların veraset yoluyla veya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herhangi bir suretle olursa olsun ivazsız bir tarzda bir şahıstan diğ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er şahsa intikalinin veraset ve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intikal vergisine tabi olduğu belirtilmiştir.</w:t>
      </w:r>
      <w:proofErr w:type="gramEnd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            </w:t>
      </w:r>
      <w:proofErr w:type="gramStart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Aynı Kanun'un 3'üncü maddesinin (a) fıkrasında; 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mme idareleri, emekli ve yardım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sandıkları, sosyal sigorta kurumları, umumi menfaate hadim cemiyet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ler, siyasi partiler ve bunlara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ait olan veya bunların aralarında kurdukları teşekküllerden kurumlar vergisine tabi olm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ayanların,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(b) fıkrasında da; yukarıdaki fıkrada sayılanlar dışında kalan h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ükmi şahıslara ait olup, umumun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istifadesi için ilim, araştırma, kültür, sanat, sıhhat, eğitim, din, hay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ır, imar, spor gibi maksatlarla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kurulan teşekküllerin veraset ve intikal vergisinden muaf tutulacağı hükme bağlanmıştır. </w:t>
      </w:r>
      <w:proofErr w:type="gramEnd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Bunun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yanı sıra söz konusu Kanun'un 7'nci maddesinin ikinci fıkrasında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, bu Kanun'un 3'üncü maddesinde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yazılı şahısların beyanname vermeyecekleri düzenlenmiştir.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           Bu hükümlere göre, 7338 sayılı Kanun'un 3'üncü madde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sinin (b) fıkrasında belirtilen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amaçları gerçekleştirmek için kurulan vakıfların, bu nitelikleri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devam ettiği sürece veraset ve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intikal vergisinden muaf tutulması ve bu vakıflara yapılan bağış ve ya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rdımlar için veraset ve intikal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vergisi beyannamesi verilmemesi gerekmektedir.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           B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ilgi edinilmesini rica ederim.</w:t>
      </w:r>
    </w:p>
    <w:p w:rsidR="009468A8" w:rsidRDefault="009468A8" w:rsidP="009468A8">
      <w:pPr>
        <w:spacing w:after="100" w:afterAutospacing="1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</w:p>
    <w:p w:rsidR="009468A8" w:rsidRPr="009468A8" w:rsidRDefault="009468A8" w:rsidP="009468A8">
      <w:pPr>
        <w:spacing w:after="100" w:afterAutospacing="1" w:line="240" w:lineRule="auto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 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(*)     Bu </w:t>
      </w:r>
      <w:proofErr w:type="spellStart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</w:t>
      </w:r>
      <w:proofErr w:type="spellEnd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213 sayılı Vergi Usul Kanununun 413.maddesine dayanılarak verilmiştir.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(**)   İnceleme, yargı ya da uzlaşmada olduğu halde bu konuya ilişkin olarak yanlış b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ilgi verilmiş ise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bu </w:t>
      </w:r>
      <w:proofErr w:type="spellStart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</w:t>
      </w:r>
      <w:proofErr w:type="spellEnd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geçersizdir.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(***) Talebiniz üzerine tayin edilmiş olan bu </w:t>
      </w:r>
      <w:proofErr w:type="spellStart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özelgeye</w:t>
      </w:r>
      <w:proofErr w:type="spellEnd"/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uygun işlem y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apmanız hâlinde, bu fiilleriniz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dolayısıyla vergi tarh edilmesi icap ederse, tarafınıza vergi cezası ke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silmeyecek ve tarh edilen vergi </w:t>
      </w:r>
      <w:r w:rsidRPr="009468A8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için gecikme faizi hesaplanmayacaktır.</w:t>
      </w:r>
    </w:p>
    <w:p w:rsidR="00522136" w:rsidRPr="009468A8" w:rsidRDefault="00522136" w:rsidP="009468A8">
      <w:pPr>
        <w:jc w:val="both"/>
        <w:rPr>
          <w:sz w:val="24"/>
          <w:szCs w:val="24"/>
        </w:rPr>
      </w:pPr>
    </w:p>
    <w:sectPr w:rsidR="00522136" w:rsidRPr="009468A8" w:rsidSect="0052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77A76"/>
    <w:multiLevelType w:val="multilevel"/>
    <w:tmpl w:val="8C28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8A8"/>
    <w:rsid w:val="00522136"/>
    <w:rsid w:val="0094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1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468A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468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49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06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2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13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7" w:color="F1F1F1"/>
                            <w:left w:val="single" w:sz="6" w:space="17" w:color="F1F1F1"/>
                            <w:bottom w:val="single" w:sz="6" w:space="17" w:color="F1F1F1"/>
                            <w:right w:val="single" w:sz="6" w:space="17" w:color="F1F1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2022-09-01T08:43:00Z</dcterms:created>
  <dcterms:modified xsi:type="dcterms:W3CDTF">2022-09-01T08:47:00Z</dcterms:modified>
</cp:coreProperties>
</file>