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93" w:rsidRDefault="00D65C93" w:rsidP="00D65C93">
      <w:pPr>
        <w:spacing w:after="750" w:line="240" w:lineRule="auto"/>
        <w:outlineLvl w:val="0"/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</w:pPr>
      <w:r w:rsidRPr="00D65C93"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  <w:t>Kooperatifin kurumlar vergisi mükellefiyetinden tekrar muafiyete geçerek tasfiye işlemlerini gerçekleştirip gerçekleştiremeyeceği.</w:t>
      </w:r>
    </w:p>
    <w:p w:rsidR="00D65C93" w:rsidRDefault="00D65C93" w:rsidP="00D65C93">
      <w:pPr>
        <w:spacing w:after="750" w:line="240" w:lineRule="auto"/>
        <w:outlineLvl w:val="0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Sayı: 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B.</w:t>
      </w:r>
      <w:proofErr w:type="gramStart"/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07.4</w:t>
      </w:r>
      <w:proofErr w:type="gramEnd"/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DEF.0.51.10.00-001.02-8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Tarih: 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30/03/2015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D65C93" w:rsidRDefault="00D65C93" w:rsidP="00D65C93">
      <w:pPr>
        <w:spacing w:after="750" w:line="240" w:lineRule="auto"/>
        <w:jc w:val="center"/>
        <w:outlineLvl w:val="0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D65C93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T.C.</w:t>
      </w:r>
      <w:r w:rsidRPr="00D65C93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NİĞDE VALİLİĞİ</w:t>
      </w:r>
      <w:r w:rsidRPr="00D65C93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Defterdarlık   Gelir Müdürlüğü</w:t>
      </w:r>
      <w:r w:rsidRPr="00D65C93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 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  </w:t>
      </w:r>
    </w:p>
    <w:p w:rsidR="00D65C93" w:rsidRDefault="00D65C93" w:rsidP="00D65C93">
      <w:pPr>
        <w:spacing w:after="750" w:line="240" w:lineRule="auto"/>
        <w:outlineLvl w:val="0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proofErr w:type="gramStart"/>
      <w:r w:rsidRPr="00D65C93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Sayı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 xml:space="preserve"> : 43626428</w:t>
      </w:r>
      <w:proofErr w:type="gramEnd"/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-001.02-8 30/03/2015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Konu : Kooperatifin kurumlar vergisi  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mükellefiyetinden tekrar   muafiyete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geçerek tasfiye işlemlerini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gerçekleştirip gerçekleştiremeyeceği.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        </w:t>
      </w: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          İlgide kayıtlı </w:t>
      </w:r>
      <w:proofErr w:type="spell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talep formunda; Kooperatifinizin 1996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yılında kurulduğu, 5520 sayılı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Kurumlar Vergisi Kanununun 4 üncü maddesinin birinci fırkasının (k) bendindeki şar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tları yerine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getirmek suretiyle kurumlar vergisi muafiyetinden yararlanıldığı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, 1996 yılında Kooperatifinizce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alınan aktifinize kayıtlı dükkânların Aralık 2013 döneminde ihale yolu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ile satışının yapıldığı, satış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sonrasında kurumlar vergisi mükellefiyetinin tesis edildiği ve bu satış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lar dolayısıyla oluşan kazancın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vergilendirildiği, Kooperatifinizin </w:t>
      </w:r>
      <w:proofErr w:type="gram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28/1/2014</w:t>
      </w:r>
      <w:proofErr w:type="gram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tarihinde tasfiyeye girdiği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belirtilerek, tasfiye işlemleri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gerçekleştirilirken  mükellefiyetinizin  sonlandırılmasının  mümkün  olup  olmadığı  hususun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da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Defterdarlığımızdan görüş talep edildiği anlaşılmaktadır.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</w:t>
      </w:r>
      <w:proofErr w:type="gram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5520 sayılı Kurumlar Vergisi Kanununun 2 </w:t>
      </w:r>
      <w:proofErr w:type="spell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maddesinin 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kinci fıkrasında, kooperatifler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kurumlar vergisi mükellefleri arasında sayılmış, aynı Kanunun 4 üncü maddesinin birinci fıkras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ının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(k) bendinde ise tüketim ve taşımacılık kooperatifleri hariç 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lmak üzere, ana sözleşmelerinde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sermaye üzerinden kazanç dağıtılmaması, yönetim kurulu başka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 ve üyelerine kazanç üzerinden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pay verilmemesi, yedek akçelerin ortaklara dağıtılmaması ve sadec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 ortaklarla iş görülmesine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ilişkin hükümler bulunup, bu hükümlere fiilen uyan kooperatiflerin kurumlar vergisinden muaf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olduğu hüküm altına alınmıştır. </w:t>
      </w:r>
      <w:proofErr w:type="gramEnd"/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 1 seri no.lu Kurumlar Vergisi Genel Tebliğinin "4.13 Ko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operatifler" başlıklı bölümünde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muafiyet şartları detaylı olarak açıklanmış olup, "4.13.1.4 Sadece Ortaklarla İş Görülmesi" başlıklı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bölümünde;</w:t>
      </w:r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 xml:space="preserve">            "Kooperatifler ortaklarının belirli ekonomik çıkarlarının ve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özellikle meslek ve geçimlerine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ait ihtiyaçlarının sağlanıp korunmasını amaçladıkları için faaliyetin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normal olarak sadece ortaklarla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sınırlı olması gerekmektedir. Bu nedenle, bir kooperatifin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kurumlar vergisi muafiyetinden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yararlanabilmesi için ana sözleşmesinde sadece ortaklarla iş görü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lmesine ilişkin hüküm bulunması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 fiilen de bu hükme uyulması gerekmektedir.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           Ortak dışı işlemler, sadece ortak olmayanlarla yapılan işlemle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ri değil, ortaklarla kooperatif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ana sözleşmesinde yer almayan konularda yapılan işlemleri de kapsamaktadır."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</w:t>
      </w:r>
      <w:proofErr w:type="gram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açıklamasına</w:t>
      </w:r>
      <w:proofErr w:type="gram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yer verilmi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ştir.</w:t>
      </w:r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Aynı Tebliğin "4.17 Şarta Bağlı Muafiyetlerin Kaybedilmes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 ve Kazanılması" bölümünde ise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muafiyet şartlarını taşıyan bir kooperatifin muafiyet şartlarını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ihlal etmesi durumunda muafiyet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şartlarının ihlal edildiği tarihten itibaren kurumlar vergisine tabi tutulması, muafiyet </w:t>
      </w:r>
      <w:proofErr w:type="spell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şartlarınıntekrar</w:t>
      </w:r>
      <w:proofErr w:type="spell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kazanılması  durumunda  ise  izleyen  hesap  dönemi 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başından  itibaren  muafiyetten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yararlanılması gerektiği açıklanmıştır.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Diğer yandan; tasfiye, kurumların fesih ve infisahını </w:t>
      </w:r>
      <w:proofErr w:type="spell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teminen</w:t>
      </w:r>
      <w:proofErr w:type="spell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,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kurum mevcutlarının,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alacaklarının ve borçlarının tayin ve tespiti ile alacaklarının tahsili,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mevcutlarının nakde çevrilerek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borçlarının ödenmesi ve geri kalan nakdin ortaklara kanun v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 ana sözleşme hükümlerine göre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dağıtılmasını temin eden işlemler sürecidir.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Bu hüküm ve açıklamalara göre, </w:t>
      </w:r>
      <w:proofErr w:type="gram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28/1/2014</w:t>
      </w:r>
      <w:proofErr w:type="gram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tarihinde ta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sfiyeye giren kooperatifinizin,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tasfiyeye girdiği tarihten itibaren kurumlar vergisi mükellefi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yetinin devam etmesi ve tasfiye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sonuçlanana kadar vergisel yükümlülüklerini yerine getirmesi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gerekmektedir.</w:t>
      </w:r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Bilg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 edinilmesini rica ederim.</w:t>
      </w:r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 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(*)     Bu </w:t>
      </w:r>
      <w:proofErr w:type="spell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213 sayılı Vergi Usul Kanununun 413.maddesine dayanılarak verilmiştir.</w:t>
      </w:r>
    </w:p>
    <w:p w:rsidR="00D65C93" w:rsidRDefault="00D65C93" w:rsidP="00D65C93">
      <w:pPr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(**)   İnceleme, yargı ya da uzlaşmada olduğu halde bu konuya ilişkin olarak yanlış bilgi verilm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iş ise bu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geçersizdir.</w:t>
      </w:r>
    </w:p>
    <w:p w:rsidR="00006486" w:rsidRPr="00D65C93" w:rsidRDefault="00D65C93" w:rsidP="00D65C93">
      <w:pPr>
        <w:spacing w:after="750" w:line="240" w:lineRule="auto"/>
        <w:jc w:val="both"/>
        <w:outlineLvl w:val="0"/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</w:pP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(***) Talebiniz üzerine tayin edilmiş olan bu </w:t>
      </w:r>
      <w:proofErr w:type="spellStart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özelgeye</w:t>
      </w:r>
      <w:proofErr w:type="spellEnd"/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uygun işlem 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apmanız hâlinde, bu fiilleriniz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vergi tarh edilmesi icap ederse, tarafınıza vergi cezası ke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silmeyecek ve tarh edilen vergi </w:t>
      </w:r>
      <w:r w:rsidRPr="00D65C93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gecikme faizi hesaplanmayacaktır.</w:t>
      </w:r>
    </w:p>
    <w:sectPr w:rsidR="00006486" w:rsidRPr="00D65C93" w:rsidSect="0000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A63A2"/>
    <w:multiLevelType w:val="multilevel"/>
    <w:tmpl w:val="4292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C93"/>
    <w:rsid w:val="00006486"/>
    <w:rsid w:val="00D6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86"/>
  </w:style>
  <w:style w:type="paragraph" w:styleId="Balk1">
    <w:name w:val="heading 1"/>
    <w:basedOn w:val="Normal"/>
    <w:link w:val="Balk1Char"/>
    <w:uiPriority w:val="9"/>
    <w:qFormat/>
    <w:rsid w:val="00D65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5C9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6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65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71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1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5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F1F1F1"/>
                            <w:left w:val="single" w:sz="6" w:space="17" w:color="F1F1F1"/>
                            <w:bottom w:val="single" w:sz="6" w:space="17" w:color="F1F1F1"/>
                            <w:right w:val="single" w:sz="6" w:space="17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2022-09-01T08:20:00Z</dcterms:created>
  <dcterms:modified xsi:type="dcterms:W3CDTF">2022-09-01T08:24:00Z</dcterms:modified>
</cp:coreProperties>
</file>