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43D" w:rsidRDefault="0006343D" w:rsidP="0006343D">
      <w:pPr>
        <w:shd w:val="clear" w:color="auto" w:fill="FFFFFF"/>
        <w:spacing w:after="750" w:line="240" w:lineRule="auto"/>
        <w:outlineLvl w:val="0"/>
        <w:rPr>
          <w:rFonts w:ascii="Arial" w:eastAsia="Times New Roman" w:hAnsi="Arial" w:cs="Arial"/>
          <w:b/>
          <w:bCs/>
          <w:color w:val="323232"/>
          <w:kern w:val="36"/>
          <w:sz w:val="24"/>
          <w:szCs w:val="24"/>
          <w:lang w:eastAsia="tr-TR"/>
        </w:rPr>
      </w:pPr>
      <w:r w:rsidRPr="0006343D">
        <w:rPr>
          <w:rFonts w:ascii="Arial" w:eastAsia="Times New Roman" w:hAnsi="Arial" w:cs="Arial"/>
          <w:b/>
          <w:bCs/>
          <w:color w:val="323232"/>
          <w:kern w:val="36"/>
          <w:sz w:val="24"/>
          <w:szCs w:val="24"/>
          <w:lang w:eastAsia="tr-TR"/>
        </w:rPr>
        <w:t xml:space="preserve">Yurt dışında mukim </w:t>
      </w:r>
      <w:proofErr w:type="spellStart"/>
      <w:r w:rsidRPr="0006343D">
        <w:rPr>
          <w:rFonts w:ascii="Arial" w:eastAsia="Times New Roman" w:hAnsi="Arial" w:cs="Arial"/>
          <w:b/>
          <w:bCs/>
          <w:color w:val="323232"/>
          <w:kern w:val="36"/>
          <w:sz w:val="24"/>
          <w:szCs w:val="24"/>
          <w:lang w:eastAsia="tr-TR"/>
        </w:rPr>
        <w:t>kooperatiftenTürkiye'de</w:t>
      </w:r>
      <w:proofErr w:type="spellEnd"/>
      <w:r w:rsidRPr="0006343D">
        <w:rPr>
          <w:rFonts w:ascii="Arial" w:eastAsia="Times New Roman" w:hAnsi="Arial" w:cs="Arial"/>
          <w:b/>
          <w:bCs/>
          <w:color w:val="323232"/>
          <w:kern w:val="36"/>
          <w:sz w:val="24"/>
          <w:szCs w:val="24"/>
          <w:lang w:eastAsia="tr-TR"/>
        </w:rPr>
        <w:t xml:space="preserve"> bulunan şirkete dağıtılan temettülerin vergiden istisna olup olmadığı</w:t>
      </w:r>
      <w:r>
        <w:rPr>
          <w:rFonts w:ascii="Arial" w:eastAsia="Times New Roman" w:hAnsi="Arial" w:cs="Arial"/>
          <w:b/>
          <w:bCs/>
          <w:color w:val="323232"/>
          <w:kern w:val="36"/>
          <w:sz w:val="24"/>
          <w:szCs w:val="24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23232"/>
          <w:kern w:val="36"/>
          <w:sz w:val="24"/>
          <w:szCs w:val="24"/>
          <w:lang w:eastAsia="tr-TR"/>
        </w:rPr>
        <w:t>hk</w:t>
      </w:r>
      <w:proofErr w:type="spellEnd"/>
      <w:r>
        <w:rPr>
          <w:rFonts w:ascii="Arial" w:eastAsia="Times New Roman" w:hAnsi="Arial" w:cs="Arial"/>
          <w:b/>
          <w:bCs/>
          <w:color w:val="323232"/>
          <w:kern w:val="36"/>
          <w:sz w:val="24"/>
          <w:szCs w:val="24"/>
          <w:lang w:eastAsia="tr-TR"/>
        </w:rPr>
        <w:t>.</w:t>
      </w:r>
    </w:p>
    <w:p w:rsidR="0006343D" w:rsidRDefault="0006343D" w:rsidP="0006343D">
      <w:pPr>
        <w:shd w:val="clear" w:color="auto" w:fill="FFFFFF"/>
        <w:spacing w:after="750" w:line="240" w:lineRule="auto"/>
        <w:outlineLvl w:val="0"/>
        <w:rPr>
          <w:rFonts w:ascii="Arial" w:eastAsia="Times New Roman" w:hAnsi="Arial" w:cs="Arial"/>
          <w:color w:val="575757"/>
          <w:sz w:val="21"/>
          <w:szCs w:val="21"/>
          <w:lang w:eastAsia="tr-TR"/>
        </w:rPr>
      </w:pPr>
      <w:r>
        <w:rPr>
          <w:rFonts w:ascii="Arial" w:eastAsia="Times New Roman" w:hAnsi="Arial" w:cs="Arial"/>
          <w:color w:val="575757"/>
          <w:sz w:val="21"/>
          <w:szCs w:val="21"/>
          <w:lang w:eastAsia="tr-TR"/>
        </w:rPr>
        <w:t xml:space="preserve">Sayı: </w:t>
      </w:r>
      <w:proofErr w:type="gramStart"/>
      <w:r w:rsidRPr="0006343D">
        <w:rPr>
          <w:rFonts w:ascii="Arial" w:eastAsia="Times New Roman" w:hAnsi="Arial" w:cs="Arial"/>
          <w:color w:val="575757"/>
          <w:sz w:val="21"/>
          <w:szCs w:val="21"/>
          <w:lang w:eastAsia="tr-TR"/>
        </w:rPr>
        <w:t>49327596</w:t>
      </w:r>
      <w:proofErr w:type="gramEnd"/>
      <w:r>
        <w:rPr>
          <w:rFonts w:ascii="Arial" w:eastAsia="Times New Roman" w:hAnsi="Arial" w:cs="Arial"/>
          <w:color w:val="575757"/>
          <w:sz w:val="21"/>
          <w:szCs w:val="21"/>
          <w:lang w:eastAsia="tr-TR"/>
        </w:rPr>
        <w:t>-125[KVK.2013.ÖZ.39]-107</w:t>
      </w:r>
      <w:r>
        <w:rPr>
          <w:rFonts w:ascii="Arial" w:eastAsia="Times New Roman" w:hAnsi="Arial" w:cs="Arial"/>
          <w:color w:val="575757"/>
          <w:sz w:val="21"/>
          <w:szCs w:val="21"/>
          <w:lang w:eastAsia="tr-TR"/>
        </w:rPr>
        <w:br/>
        <w:t xml:space="preserve">Tarih: </w:t>
      </w:r>
      <w:r w:rsidRPr="0006343D">
        <w:rPr>
          <w:rFonts w:ascii="Arial" w:eastAsia="Times New Roman" w:hAnsi="Arial" w:cs="Arial"/>
          <w:color w:val="575757"/>
          <w:sz w:val="21"/>
          <w:szCs w:val="21"/>
          <w:lang w:eastAsia="tr-TR"/>
        </w:rPr>
        <w:t>22/04/2014</w:t>
      </w:r>
    </w:p>
    <w:p w:rsidR="0006343D" w:rsidRPr="0006343D" w:rsidRDefault="0006343D" w:rsidP="0006343D">
      <w:pPr>
        <w:shd w:val="clear" w:color="auto" w:fill="FFFFFF"/>
        <w:spacing w:after="750" w:line="240" w:lineRule="auto"/>
        <w:jc w:val="center"/>
        <w:outlineLvl w:val="0"/>
        <w:rPr>
          <w:rFonts w:ascii="Arial" w:eastAsia="Times New Roman" w:hAnsi="Arial" w:cs="Arial"/>
          <w:b/>
          <w:color w:val="575757"/>
          <w:sz w:val="21"/>
          <w:szCs w:val="21"/>
          <w:lang w:eastAsia="tr-TR"/>
        </w:rPr>
      </w:pPr>
      <w:r w:rsidRPr="0006343D">
        <w:rPr>
          <w:rFonts w:ascii="Arial" w:eastAsia="Times New Roman" w:hAnsi="Arial" w:cs="Arial"/>
          <w:b/>
          <w:color w:val="575757"/>
          <w:sz w:val="21"/>
          <w:szCs w:val="21"/>
          <w:lang w:eastAsia="tr-TR"/>
        </w:rPr>
        <w:t>T.C.</w:t>
      </w:r>
      <w:r w:rsidRPr="0006343D">
        <w:rPr>
          <w:rFonts w:ascii="Arial" w:eastAsia="Times New Roman" w:hAnsi="Arial" w:cs="Arial"/>
          <w:b/>
          <w:color w:val="575757"/>
          <w:sz w:val="21"/>
          <w:szCs w:val="21"/>
          <w:lang w:eastAsia="tr-TR"/>
        </w:rPr>
        <w:br/>
        <w:t>GELİR İDARESİ BAŞKANLIĞI</w:t>
      </w:r>
      <w:r w:rsidRPr="0006343D">
        <w:rPr>
          <w:rFonts w:ascii="Arial" w:eastAsia="Times New Roman" w:hAnsi="Arial" w:cs="Arial"/>
          <w:b/>
          <w:color w:val="575757"/>
          <w:sz w:val="21"/>
          <w:szCs w:val="21"/>
          <w:lang w:eastAsia="tr-TR"/>
        </w:rPr>
        <w:br/>
        <w:t>ANTALYA VERGİ DAİRESİ BAŞKANLIĞI</w:t>
      </w:r>
      <w:r w:rsidRPr="0006343D">
        <w:rPr>
          <w:rFonts w:ascii="Arial" w:eastAsia="Times New Roman" w:hAnsi="Arial" w:cs="Arial"/>
          <w:b/>
          <w:color w:val="575757"/>
          <w:sz w:val="21"/>
          <w:szCs w:val="21"/>
          <w:lang w:eastAsia="tr-TR"/>
        </w:rPr>
        <w:br/>
        <w:t>MÜKELLEF HİZMETLERİ GELİR GRUP MÜDÜRLÜĞÜ</w:t>
      </w:r>
      <w:r w:rsidRPr="0006343D">
        <w:rPr>
          <w:rFonts w:ascii="Arial" w:eastAsia="Times New Roman" w:hAnsi="Arial" w:cs="Arial"/>
          <w:b/>
          <w:color w:val="575757"/>
          <w:sz w:val="21"/>
          <w:szCs w:val="21"/>
          <w:lang w:eastAsia="tr-TR"/>
        </w:rPr>
        <w:br/>
      </w:r>
    </w:p>
    <w:p w:rsidR="0006343D" w:rsidRDefault="0006343D" w:rsidP="0006343D">
      <w:pPr>
        <w:shd w:val="clear" w:color="auto" w:fill="FFFFFF"/>
        <w:spacing w:after="750" w:line="240" w:lineRule="auto"/>
        <w:outlineLvl w:val="0"/>
        <w:rPr>
          <w:rFonts w:ascii="Arial" w:eastAsia="Times New Roman" w:hAnsi="Arial" w:cs="Arial"/>
          <w:color w:val="575757"/>
          <w:sz w:val="21"/>
          <w:szCs w:val="21"/>
          <w:lang w:eastAsia="tr-TR"/>
        </w:rPr>
      </w:pPr>
      <w:proofErr w:type="gramStart"/>
      <w:r w:rsidRPr="0006343D">
        <w:rPr>
          <w:rFonts w:ascii="Arial" w:eastAsia="Times New Roman" w:hAnsi="Arial" w:cs="Arial"/>
          <w:b/>
          <w:color w:val="575757"/>
          <w:sz w:val="21"/>
          <w:szCs w:val="21"/>
          <w:lang w:eastAsia="tr-TR"/>
        </w:rPr>
        <w:t xml:space="preserve">Sayı </w:t>
      </w:r>
      <w:r w:rsidRPr="0006343D">
        <w:rPr>
          <w:rFonts w:ascii="Arial" w:eastAsia="Times New Roman" w:hAnsi="Arial" w:cs="Arial"/>
          <w:color w:val="575757"/>
          <w:sz w:val="21"/>
          <w:szCs w:val="21"/>
          <w:lang w:eastAsia="tr-TR"/>
        </w:rPr>
        <w:t>: 49327596</w:t>
      </w:r>
      <w:proofErr w:type="gramEnd"/>
      <w:r w:rsidRPr="0006343D">
        <w:rPr>
          <w:rFonts w:ascii="Arial" w:eastAsia="Times New Roman" w:hAnsi="Arial" w:cs="Arial"/>
          <w:color w:val="575757"/>
          <w:sz w:val="21"/>
          <w:szCs w:val="21"/>
          <w:lang w:eastAsia="tr-TR"/>
        </w:rPr>
        <w:t>-125[KVK.2013.ÖZ.39]-107 22/04/2014</w:t>
      </w:r>
      <w:r w:rsidRPr="0006343D">
        <w:rPr>
          <w:rFonts w:ascii="Arial" w:eastAsia="Times New Roman" w:hAnsi="Arial" w:cs="Arial"/>
          <w:color w:val="575757"/>
          <w:sz w:val="21"/>
          <w:szCs w:val="21"/>
          <w:lang w:eastAsia="tr-TR"/>
        </w:rPr>
        <w:br/>
        <w:t xml:space="preserve">Konu : Yurt dışında mukim </w:t>
      </w:r>
      <w:proofErr w:type="spellStart"/>
      <w:r w:rsidRPr="0006343D">
        <w:rPr>
          <w:rFonts w:ascii="Arial" w:eastAsia="Times New Roman" w:hAnsi="Arial" w:cs="Arial"/>
          <w:color w:val="575757"/>
          <w:sz w:val="21"/>
          <w:szCs w:val="21"/>
          <w:lang w:eastAsia="tr-TR"/>
        </w:rPr>
        <w:t>kooperatiftenTürkiye'de</w:t>
      </w:r>
      <w:proofErr w:type="spellEnd"/>
      <w:r w:rsidRPr="0006343D">
        <w:rPr>
          <w:rFonts w:ascii="Arial" w:eastAsia="Times New Roman" w:hAnsi="Arial" w:cs="Arial"/>
          <w:color w:val="575757"/>
          <w:sz w:val="21"/>
          <w:szCs w:val="21"/>
          <w:lang w:eastAsia="tr-TR"/>
        </w:rPr>
        <w:t xml:space="preserve"> bulunan</w:t>
      </w:r>
      <w:r w:rsidRPr="0006343D">
        <w:rPr>
          <w:rFonts w:ascii="Arial" w:eastAsia="Times New Roman" w:hAnsi="Arial" w:cs="Arial"/>
          <w:color w:val="575757"/>
          <w:sz w:val="21"/>
          <w:szCs w:val="21"/>
          <w:lang w:eastAsia="tr-TR"/>
        </w:rPr>
        <w:br/>
        <w:t>şirkete dağıtılan temettülerin vergiden istisna olup</w:t>
      </w:r>
      <w:r w:rsidRPr="0006343D">
        <w:rPr>
          <w:rFonts w:ascii="Arial" w:eastAsia="Times New Roman" w:hAnsi="Arial" w:cs="Arial"/>
          <w:color w:val="575757"/>
          <w:sz w:val="21"/>
          <w:szCs w:val="21"/>
          <w:lang w:eastAsia="tr-TR"/>
        </w:rPr>
        <w:br/>
        <w:t>olmadığı</w:t>
      </w:r>
      <w:r w:rsidRPr="0006343D">
        <w:rPr>
          <w:rFonts w:ascii="Arial" w:eastAsia="Times New Roman" w:hAnsi="Arial" w:cs="Arial"/>
          <w:color w:val="575757"/>
          <w:sz w:val="21"/>
          <w:szCs w:val="21"/>
          <w:lang w:eastAsia="tr-TR"/>
        </w:rPr>
        <w:br/>
      </w:r>
    </w:p>
    <w:p w:rsidR="0006343D" w:rsidRDefault="0006343D" w:rsidP="0006343D">
      <w:pPr>
        <w:shd w:val="clear" w:color="auto" w:fill="FFFFFF"/>
        <w:spacing w:after="750" w:line="240" w:lineRule="auto"/>
        <w:jc w:val="both"/>
        <w:outlineLvl w:val="0"/>
        <w:rPr>
          <w:rFonts w:ascii="Arial" w:eastAsia="Times New Roman" w:hAnsi="Arial" w:cs="Arial"/>
          <w:color w:val="575757"/>
          <w:sz w:val="24"/>
          <w:szCs w:val="24"/>
          <w:lang w:eastAsia="tr-TR"/>
        </w:rPr>
      </w:pPr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İlgide kayıtlı dilekçenizde, şirketinizin yurt dışında sürdürm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ekte olduğu turizm faaliyetleri </w:t>
      </w:r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dolayısıyla Hollanda'da sermayesinin %99'una sahip bir koope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ratifin kurulduğu belirtilerek; </w:t>
      </w:r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Hollanda mukimi kooperatiften şirketinize dağıtılan temettülerin T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ürkiye'de vergiden istisna olup </w:t>
      </w:r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olmayacağı hususunda Başkanlığımız görüşü talep edilmektedir.</w:t>
      </w:r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</w:r>
      <w:proofErr w:type="gramStart"/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5520 sayılı Kurumlar Vergisi Kanununun 1 inci maddesinde kurumlar vergisine tabi</w:t>
      </w:r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kurumlar sayılmış olup, söz konusu maddenin ikinci fıkrasında ku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rum kazancının gelir vergisinin </w:t>
      </w:r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konusuna giren gelir unsurlarından oluştuğu, aynı Kanunun 3 ünc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ü maddesinin birinci fıkrasında </w:t>
      </w:r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da, bu kurumlardan kanuni veya iş merkezi Türkiye'de bulunanların tam mükellef o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larak gerek </w:t>
      </w:r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Türkiye içinde gerekse Türkiye dışında elde ettikleri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kazançlarının tamamı üzerinden </w:t>
      </w:r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vergilendirilecekleri hükmüne yer verilmiştir.</w:t>
      </w:r>
      <w:proofErr w:type="gramEnd"/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 xml:space="preserve">Aynı Kanunun 6 </w:t>
      </w:r>
      <w:proofErr w:type="spellStart"/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ncı</w:t>
      </w:r>
      <w:proofErr w:type="spellEnd"/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maddesinde; kurumlar vergisinin, mükelleflerin bir hesap dönemi</w:t>
      </w:r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içinde elde ettikleri safi kurum kazancı üzerinden hesaplanacağı, s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afi kurum kazancının tespitinde </w:t>
      </w:r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193 sayılı Gelir Vergisi Kanununun ticari kazanç hakkındaki 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>hükümlerinin uygulanacağı hüküm altına alınmıştır.</w:t>
      </w:r>
    </w:p>
    <w:p w:rsidR="0006343D" w:rsidRDefault="0006343D" w:rsidP="0006343D">
      <w:pPr>
        <w:shd w:val="clear" w:color="auto" w:fill="FFFFFF"/>
        <w:spacing w:after="750" w:line="240" w:lineRule="auto"/>
        <w:jc w:val="both"/>
        <w:outlineLvl w:val="0"/>
        <w:rPr>
          <w:rFonts w:ascii="Arial" w:eastAsia="Times New Roman" w:hAnsi="Arial" w:cs="Arial"/>
          <w:color w:val="575757"/>
          <w:sz w:val="24"/>
          <w:szCs w:val="24"/>
          <w:lang w:eastAsia="tr-TR"/>
        </w:rPr>
      </w:pPr>
      <w:proofErr w:type="gramStart"/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Gelir Vergisi Kanununun "Bilanço Esasında Ticari Kazancın Tespiti" başlıklı 38 inci</w:t>
      </w:r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 xml:space="preserve">maddesinde ise; bilanço esasına göre ticari kazancın, </w:t>
      </w:r>
      <w:proofErr w:type="spellStart"/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teşebbüs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>deki</w:t>
      </w:r>
      <w:proofErr w:type="spellEnd"/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öz sermayenin hesap dönemi </w:t>
      </w:r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sonunda ve başındaki değerleri arasındaki </w:t>
      </w:r>
      <w:proofErr w:type="spellStart"/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müsbet</w:t>
      </w:r>
      <w:proofErr w:type="spellEnd"/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fark olduğ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u, bu dönem zarfında sahip veya </w:t>
      </w:r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sahiplerce; işletmeye ilave olunan değerlerin bu farktan indirileceği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, işletmeden çekilen değerlerin </w:t>
      </w:r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ise farka ilave olunacağı, ticari kazancın bu suretle tespit edilmesi 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sırasında, Vergi Usul Kanununun </w:t>
      </w:r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değerlemeye ait hükümleri ile bu kanunun 40 ve 41 inci maddel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eri hükümlerine uyulacağı hükme </w:t>
      </w:r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bağlanmıştır.</w:t>
      </w:r>
      <w:proofErr w:type="gramEnd"/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</w:r>
    </w:p>
    <w:p w:rsidR="0006343D" w:rsidRDefault="0006343D" w:rsidP="0006343D">
      <w:pPr>
        <w:shd w:val="clear" w:color="auto" w:fill="FFFFFF"/>
        <w:spacing w:after="750" w:line="240" w:lineRule="auto"/>
        <w:jc w:val="both"/>
        <w:outlineLvl w:val="0"/>
        <w:rPr>
          <w:rFonts w:ascii="Arial" w:eastAsia="Times New Roman" w:hAnsi="Arial" w:cs="Arial"/>
          <w:color w:val="575757"/>
          <w:sz w:val="24"/>
          <w:szCs w:val="24"/>
          <w:lang w:eastAsia="tr-TR"/>
        </w:rPr>
      </w:pPr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lastRenderedPageBreak/>
        <w:t>Buna göre, şirketinizin iştirak ettiği Hollanda mukimi kooperat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iften elde edilen temettülerin, </w:t>
      </w:r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kurum kazancına </w:t>
      </w:r>
      <w:proofErr w:type="gramStart"/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dahil</w:t>
      </w:r>
      <w:proofErr w:type="gramEnd"/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edilerek kurumlar vergisine tabi tutulması gerekmektedir.</w:t>
      </w:r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Ancak, Türkiye Cumhuriyeti ile Hollanda Krallığı Arasında Gelir Üzerinden Alınan</w:t>
      </w:r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Vergilerde Çifte Vergilendirmeyi Önleme ve Vergi Kaçakç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ılığına Engel Olma Anlaşmasının </w:t>
      </w:r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hükümleri </w:t>
      </w:r>
      <w:proofErr w:type="gramStart"/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01/01/1989</w:t>
      </w:r>
      <w:proofErr w:type="gramEnd"/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tarihinden itibaren uygulanmaktadır.</w:t>
      </w:r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Anlaşmanın "Temettüler" başlıklı 10 uncu maddesinin ilk iki fıkrasında;</w:t>
      </w:r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"1.Devletlerden birinin mukimi olan bir şirket tarafından diğer Devletin bir mukimine</w:t>
      </w:r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ödenen temettüler, bu diğe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r Devlette vergilendirilebilir. </w:t>
      </w:r>
    </w:p>
    <w:p w:rsidR="0006343D" w:rsidRDefault="0006343D" w:rsidP="0006343D">
      <w:pPr>
        <w:shd w:val="clear" w:color="auto" w:fill="FFFFFF"/>
        <w:spacing w:after="750" w:line="240" w:lineRule="auto"/>
        <w:jc w:val="both"/>
        <w:outlineLvl w:val="0"/>
        <w:rPr>
          <w:rFonts w:ascii="Arial" w:eastAsia="Times New Roman" w:hAnsi="Arial" w:cs="Arial"/>
          <w:color w:val="575757"/>
          <w:sz w:val="24"/>
          <w:szCs w:val="24"/>
          <w:lang w:eastAsia="tr-TR"/>
        </w:rPr>
      </w:pPr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2.Bununla beraber söz konusu temettüler, temettü ödeyen 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şirketin mukim olduğu Devlette, </w:t>
      </w:r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o Devletin mevzuatına göre de vergilendirilebilir; ancak bu şekilde alı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>nacak vergi aşağıdaki oranları aşmayacaktır:</w:t>
      </w:r>
    </w:p>
    <w:p w:rsidR="0006343D" w:rsidRDefault="0006343D" w:rsidP="0006343D">
      <w:pPr>
        <w:shd w:val="clear" w:color="auto" w:fill="FFFFFF"/>
        <w:spacing w:after="750" w:line="240" w:lineRule="auto"/>
        <w:jc w:val="both"/>
        <w:outlineLvl w:val="0"/>
        <w:rPr>
          <w:rFonts w:ascii="Arial" w:eastAsia="Times New Roman" w:hAnsi="Arial" w:cs="Arial"/>
          <w:color w:val="575757"/>
          <w:sz w:val="24"/>
          <w:szCs w:val="24"/>
          <w:lang w:eastAsia="tr-TR"/>
        </w:rPr>
      </w:pPr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a)Temettü elde eden, temettü ödeyen şirketin sermayesin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in doğrudan doğruya en az yüzde </w:t>
      </w:r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25'ini elinde tutan bir şirket ise (ortaklıklar hariç), gayrisaf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>i temettü tutarının yüzde 15'i;</w:t>
      </w:r>
    </w:p>
    <w:p w:rsidR="0006343D" w:rsidRDefault="0006343D" w:rsidP="0006343D">
      <w:pPr>
        <w:shd w:val="clear" w:color="auto" w:fill="FFFFFF"/>
        <w:spacing w:after="750" w:line="240" w:lineRule="auto"/>
        <w:jc w:val="both"/>
        <w:outlineLvl w:val="0"/>
        <w:rPr>
          <w:rFonts w:ascii="Arial" w:eastAsia="Times New Roman" w:hAnsi="Arial" w:cs="Arial"/>
          <w:color w:val="575757"/>
          <w:sz w:val="24"/>
          <w:szCs w:val="24"/>
          <w:lang w:eastAsia="tr-TR"/>
        </w:rPr>
      </w:pPr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b)Tüm diğer durumlarda gayrisafi temettü tutarının yüzde 20'si.</w:t>
      </w:r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Bu fıkra hükümleri, bünyesinden temettü ayrılan şirket kazancının vergilenmesine etki</w:t>
      </w:r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etmey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ecektir." hükmü yer almaktadır. </w:t>
      </w:r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Bu madde ile temettülerin şirketler tarafından ödenebile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ceği düzenlenmiştir. Anlaşmanın </w:t>
      </w:r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"Genel Tanımlar" başlıklı 3 üncü maddesinin 1/e fıkrasında ise "şirket" terimi, her tür tüzel kişi veya</w:t>
      </w:r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vergileme yönünden tüzel kişi olarak muamele gören her tür şahsiyet olarak tanımlanmıştır.</w:t>
      </w:r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Anlaşmanın "Çifte Vergilendirmenin Önlenmesi" başlıklı 23 üncü maddesinin birinci</w:t>
      </w:r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fıkrasında;</w:t>
      </w:r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"1.Türkiye mukimleri için çifte vergilendirme aşağıdaki şekilde giderilecektir:</w:t>
      </w:r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a</w:t>
      </w:r>
      <w:proofErr w:type="gramStart"/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)</w:t>
      </w:r>
      <w:proofErr w:type="gramEnd"/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Bir Türkiye mukimi, </w:t>
      </w:r>
    </w:p>
    <w:p w:rsidR="0006343D" w:rsidRDefault="0006343D" w:rsidP="0006343D">
      <w:pPr>
        <w:shd w:val="clear" w:color="auto" w:fill="FFFFFF"/>
        <w:spacing w:after="750" w:line="240" w:lineRule="auto"/>
        <w:jc w:val="both"/>
        <w:outlineLvl w:val="0"/>
        <w:rPr>
          <w:rFonts w:ascii="Arial" w:eastAsia="Times New Roman" w:hAnsi="Arial" w:cs="Arial"/>
          <w:color w:val="575757"/>
          <w:sz w:val="24"/>
          <w:szCs w:val="24"/>
          <w:lang w:eastAsia="tr-TR"/>
        </w:rPr>
      </w:pPr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b) bendinde kavrananlar hariç olmak üzere, bu Anlaşma hükümlere</w:t>
      </w:r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göre Hollanda'da vergilendirilebilen bir gelir unsuru elde ettiğinde T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ürkiye, bu geliri vergiden muaf </w:t>
      </w:r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tutacaktır. Ancak Türkiye, bu kişinin geriye kalan gelirine ilişkin ve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rgiyi hesaplarken, muaf tutulan </w:t>
      </w:r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gelir sanki vergiden muaf değilmiş gibi bir vergi oranı uygulayab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ilir. Temettüler için bu bendin </w:t>
      </w:r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bundan önceki hükmü Hollanda mukimi bir şirketin en az yüzde 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10 sermayesini doğrudan doğruya </w:t>
      </w:r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elinde bulunduran bir T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>ürkiye mukimine uygulanacaktır.</w:t>
      </w:r>
    </w:p>
    <w:p w:rsidR="0006343D" w:rsidRDefault="0006343D" w:rsidP="0006343D">
      <w:pPr>
        <w:shd w:val="clear" w:color="auto" w:fill="FFFFFF"/>
        <w:spacing w:after="750" w:line="240" w:lineRule="auto"/>
        <w:jc w:val="both"/>
        <w:outlineLvl w:val="0"/>
        <w:rPr>
          <w:rFonts w:ascii="Arial" w:eastAsia="Times New Roman" w:hAnsi="Arial" w:cs="Arial"/>
          <w:color w:val="575757"/>
          <w:sz w:val="24"/>
          <w:szCs w:val="24"/>
          <w:lang w:eastAsia="tr-TR"/>
        </w:rPr>
      </w:pPr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b)Hollanda'da bu Anlaşma hükümleri uyarınca ödenen verg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i, yabancı vergilerin mahsubuna </w:t>
      </w:r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ilişkin Türk vergi mevzuatı hükümlerine göre aşağıda sayılan gelir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ler üzerinden Türkiye'de alınan </w:t>
      </w:r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vergilere mahsup edilecektir.</w:t>
      </w:r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i)a) bendinde yazılı olmayan temettüler;</w:t>
      </w:r>
    </w:p>
    <w:p w:rsidR="0006343D" w:rsidRDefault="0006343D" w:rsidP="0006343D">
      <w:pPr>
        <w:shd w:val="clear" w:color="auto" w:fill="FFFFFF"/>
        <w:spacing w:after="750" w:line="240" w:lineRule="auto"/>
        <w:jc w:val="both"/>
        <w:outlineLvl w:val="0"/>
        <w:rPr>
          <w:rFonts w:ascii="Arial" w:eastAsia="Times New Roman" w:hAnsi="Arial" w:cs="Arial"/>
          <w:color w:val="575757"/>
          <w:sz w:val="24"/>
          <w:szCs w:val="24"/>
          <w:lang w:eastAsia="tr-TR"/>
        </w:rPr>
      </w:pPr>
      <w:proofErr w:type="spellStart"/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lastRenderedPageBreak/>
        <w:t>ii</w:t>
      </w:r>
      <w:proofErr w:type="spellEnd"/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)Faizler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>;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</w:r>
      <w:proofErr w:type="spellStart"/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>iii</w:t>
      </w:r>
      <w:proofErr w:type="spellEnd"/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>)</w:t>
      </w:r>
      <w:proofErr w:type="spellStart"/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>Gayrimaddi</w:t>
      </w:r>
      <w:proofErr w:type="spellEnd"/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hak bedelleri;</w:t>
      </w:r>
    </w:p>
    <w:p w:rsidR="0006343D" w:rsidRDefault="0006343D" w:rsidP="0006343D">
      <w:pPr>
        <w:shd w:val="clear" w:color="auto" w:fill="FFFFFF"/>
        <w:spacing w:after="750" w:line="240" w:lineRule="auto"/>
        <w:jc w:val="both"/>
        <w:outlineLvl w:val="0"/>
        <w:rPr>
          <w:rFonts w:ascii="Arial" w:eastAsia="Times New Roman" w:hAnsi="Arial" w:cs="Arial"/>
          <w:color w:val="575757"/>
          <w:sz w:val="24"/>
          <w:szCs w:val="24"/>
          <w:lang w:eastAsia="tr-TR"/>
        </w:rPr>
      </w:pPr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iv)13 üncü Maddenin 5 inci fıkrası gereğince, Hollanda'da vergilendirilen sermaye değer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artış </w:t>
      </w:r>
      <w:proofErr w:type="gramStart"/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>kazançları.</w:t>
      </w:r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Bununla</w:t>
      </w:r>
      <w:proofErr w:type="gramEnd"/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beraber bu mahsup, Hollanda'da vergilendirilebilen 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gelir için Türkiye'de </w:t>
      </w:r>
      <w:proofErr w:type="spellStart"/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mahsupdan</w:t>
      </w:r>
      <w:proofErr w:type="spellEnd"/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önce hesaplanan vergi miktarını aşmayacaktır.</w:t>
      </w:r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c)Bu fıkranın amaçları yönünden Hollanda'da gelir üzerinden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ödenen vergiler belirlenirken, </w:t>
      </w:r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Hollanda Yatırım Hesapları Kanununda (</w:t>
      </w:r>
      <w:proofErr w:type="spellStart"/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Wet</w:t>
      </w:r>
      <w:proofErr w:type="spellEnd"/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</w:t>
      </w:r>
      <w:proofErr w:type="spellStart"/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Investeringsrekening</w:t>
      </w:r>
      <w:proofErr w:type="spellEnd"/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)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bahsedilen yatırım primleri ve </w:t>
      </w:r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hibeleri ve yatırım yapmama ödemeleri dikkate alınmayacaktır. Bu 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paragrafın amaçları yönünden, 2 </w:t>
      </w:r>
      <w:proofErr w:type="spellStart"/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nci</w:t>
      </w:r>
      <w:proofErr w:type="spellEnd"/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maddenin 3 üncü fıkrasının b</w:t>
      </w:r>
      <w:proofErr w:type="gramStart"/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)</w:t>
      </w:r>
      <w:proofErr w:type="gramEnd"/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bendinde ve 4 üncü fıkrasında belirtile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n vergiler, gelir üzerinden </w:t>
      </w:r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alınan vergi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ler olarak kabul edilecektir."; </w:t>
      </w:r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Anlaşmaya Ek Protokolün XIV numaralı maddesinde ise,</w:t>
      </w:r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"23 üncü Maddenin 1 inci fıkrasının a) bendi hükümlerinin temettüler yönünden</w:t>
      </w:r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uygulanmasına, yalnızca Hollanda Kurumlar Vergisi Kanunu ile b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una ilişkin muhtemel değişiklik </w:t>
      </w:r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hükümleri, Hollanda'da mukim şirketlere, Türkiye'de mukim şirketl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erden elde ettikleri temettüler </w:t>
      </w:r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için Hollanda Kurumlar Vergisi ödememe hakkını tanıdığı sürece de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vam edileceği anlaşılmaktadır." </w:t>
      </w:r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düzenlemeleri yer almaktadır.</w:t>
      </w:r>
    </w:p>
    <w:p w:rsidR="0006343D" w:rsidRDefault="0006343D" w:rsidP="0006343D">
      <w:pPr>
        <w:shd w:val="clear" w:color="auto" w:fill="FFFFFF"/>
        <w:spacing w:after="750" w:line="240" w:lineRule="auto"/>
        <w:jc w:val="both"/>
        <w:outlineLvl w:val="0"/>
        <w:rPr>
          <w:rFonts w:ascii="Arial" w:eastAsia="Times New Roman" w:hAnsi="Arial" w:cs="Arial"/>
          <w:color w:val="575757"/>
          <w:sz w:val="24"/>
          <w:szCs w:val="24"/>
          <w:lang w:eastAsia="tr-TR"/>
        </w:rPr>
      </w:pPr>
      <w:proofErr w:type="gramStart"/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Buna göre, ortak olduğunuz Hollanda mukimi kooperatifin,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Hollanda'da, Anlaşmanın 3 üncü </w:t>
      </w:r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maddesinin 1/e fıkrası kapsamında vergileme yönünden tüzel kişi 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olarak muamele gören bir şirket </w:t>
      </w:r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olması durumunda, Hollanda'da doğan ve şirketinize yapılan teme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ttü ödemeleri, 10 uncu maddenin </w:t>
      </w:r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1 inci fıkrası çerçevesinde Türkiye'de vergilendirilebilecek, ancak kaynak devlet olarak Hollanda da</w:t>
      </w:r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 xml:space="preserve">bu gelirleri anılan maddenin 2 </w:t>
      </w:r>
      <w:proofErr w:type="spellStart"/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nci</w:t>
      </w:r>
      <w:proofErr w:type="spellEnd"/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fıkra hükümlerin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e göre vergiye tabi tutacaktır. </w:t>
      </w:r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Anlaşmaya Ek Protokolün XIV numaralı maddesi kapsa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mında Hollanda Kurumlar Vergisi </w:t>
      </w:r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Kanunu ile buna ilişkin muhtemel değişiklik hükümleri, Hollanda'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da mukim şirketlere, Türkiye'de </w:t>
      </w:r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mukim şirketlerden elde ettikleri temettüler için Hollanda K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urumlar Vergisi ödememe hakkını </w:t>
      </w:r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tanıdığı sürece, şirketinizin Hollanda mukimi şirketin en a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z yüzde 10 sermayesini doğrudan </w:t>
      </w:r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doğruya elinde bulundurması durumunda elde edeceğiniz temettü, Anlaşmanın 23 üncü maddesinin</w:t>
      </w:r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1/a fıkrası uyarınca Türkiye'de vergiden muaf tutulacaktı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r. </w:t>
      </w:r>
      <w:proofErr w:type="gramEnd"/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Ancak bu koşulların olmaması </w:t>
      </w:r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durumunda ise Anlaşmanın 23 üncü maddesinin 1/b fıkrası u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>yarınca mahsup yöntemiyle çifte vergilendirme önlenecektir.</w:t>
      </w:r>
    </w:p>
    <w:p w:rsidR="0006343D" w:rsidRDefault="0006343D" w:rsidP="0006343D">
      <w:pPr>
        <w:shd w:val="clear" w:color="auto" w:fill="FFFFFF"/>
        <w:spacing w:after="750" w:line="240" w:lineRule="auto"/>
        <w:jc w:val="both"/>
        <w:outlineLvl w:val="0"/>
        <w:rPr>
          <w:rFonts w:ascii="Arial" w:eastAsia="Times New Roman" w:hAnsi="Arial" w:cs="Arial"/>
          <w:color w:val="575757"/>
          <w:sz w:val="24"/>
          <w:szCs w:val="24"/>
          <w:lang w:eastAsia="tr-TR"/>
        </w:rPr>
      </w:pPr>
      <w:proofErr w:type="gramStart"/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Anlaşmanın 10 uncu madde hükümlerinin uygulanabilmesi için Hollanda'da mukim</w:t>
      </w:r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kooperatifin vergileme yönünden Anlaşmanın 3 üncü maddesinin 1/e fıkras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ında tanımlanan şirket </w:t>
      </w:r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olarak muamele gördüğünün, ayrıca, Anlaşmanın 23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üncü maddesinin 1/a fıkrasının </w:t>
      </w:r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uygulanabilmesi için Hollanda Kurumlar Vergisi Kanunu uyarınc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a Hollanda'da mukim şirketlere, </w:t>
      </w:r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Türkiye'de mukim şirketlerden elde ettikleri temettüler için Ho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llanda Kurumlar Vergisi ödememe </w:t>
      </w:r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hakkının tanındığı hususu ile Hollanda'da mukim kooperatifin en az yüzde 10 sermayesini doğrudan</w:t>
      </w:r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doğruya elinde bulundurduğunuz hususunun Hollanda yetkili m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akamlarından alınacak belge ile </w:t>
      </w:r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tevsik edilmesi gerekmektedir.</w:t>
      </w:r>
      <w:proofErr w:type="gramEnd"/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Bi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>lgi edinilmesini rica ederim.</w:t>
      </w:r>
    </w:p>
    <w:p w:rsidR="0006343D" w:rsidRDefault="0006343D" w:rsidP="0006343D">
      <w:pPr>
        <w:shd w:val="clear" w:color="auto" w:fill="FFFFFF"/>
        <w:spacing w:after="750" w:line="240" w:lineRule="auto"/>
        <w:jc w:val="both"/>
        <w:outlineLvl w:val="0"/>
        <w:rPr>
          <w:rFonts w:ascii="Arial" w:eastAsia="Times New Roman" w:hAnsi="Arial" w:cs="Arial"/>
          <w:color w:val="575757"/>
          <w:sz w:val="24"/>
          <w:szCs w:val="24"/>
          <w:lang w:eastAsia="tr-TR"/>
        </w:rPr>
      </w:pPr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lastRenderedPageBreak/>
        <w:t xml:space="preserve">(*) Bu </w:t>
      </w:r>
      <w:proofErr w:type="spellStart"/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Özelge</w:t>
      </w:r>
      <w:proofErr w:type="spellEnd"/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213 sayılı Vergi Usul Kanununun 413.maddesine dayanılarak verilmiştir.</w:t>
      </w:r>
    </w:p>
    <w:p w:rsidR="0006343D" w:rsidRDefault="0006343D" w:rsidP="0006343D">
      <w:pPr>
        <w:shd w:val="clear" w:color="auto" w:fill="FFFFFF"/>
        <w:spacing w:after="750" w:line="240" w:lineRule="auto"/>
        <w:jc w:val="both"/>
        <w:outlineLvl w:val="0"/>
        <w:rPr>
          <w:rFonts w:ascii="Arial" w:eastAsia="Times New Roman" w:hAnsi="Arial" w:cs="Arial"/>
          <w:color w:val="575757"/>
          <w:sz w:val="24"/>
          <w:szCs w:val="24"/>
          <w:lang w:eastAsia="tr-TR"/>
        </w:rPr>
      </w:pPr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br/>
        <w:t>(**) İnceleme, yargı ya da uzlaşmada olduğu halde bu konuya ilişkin o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larak yanlış bilgi verilmiş ise bu </w:t>
      </w:r>
      <w:proofErr w:type="spellStart"/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>özelge</w:t>
      </w:r>
      <w:proofErr w:type="spellEnd"/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geçersizdir.</w:t>
      </w:r>
    </w:p>
    <w:p w:rsidR="0006343D" w:rsidRPr="0006343D" w:rsidRDefault="0006343D" w:rsidP="0006343D">
      <w:pPr>
        <w:shd w:val="clear" w:color="auto" w:fill="FFFFFF"/>
        <w:spacing w:after="750" w:line="240" w:lineRule="auto"/>
        <w:jc w:val="both"/>
        <w:outlineLvl w:val="0"/>
        <w:rPr>
          <w:rFonts w:ascii="Arial" w:eastAsia="Times New Roman" w:hAnsi="Arial" w:cs="Arial"/>
          <w:b/>
          <w:bCs/>
          <w:color w:val="323232"/>
          <w:kern w:val="36"/>
          <w:sz w:val="24"/>
          <w:szCs w:val="24"/>
          <w:lang w:eastAsia="tr-TR"/>
        </w:rPr>
      </w:pPr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(***) Talebiniz üzerine tayin edilmiş olan bu </w:t>
      </w:r>
      <w:proofErr w:type="spellStart"/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özelgeye</w:t>
      </w:r>
      <w:proofErr w:type="spellEnd"/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 uygun işlem y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apmanız hâlinde, bu fiilleriniz </w:t>
      </w:r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dolayısıyla vergi tarh edilmesi icap ederse, tarafınıza vergi cezası ke</w:t>
      </w:r>
      <w:r>
        <w:rPr>
          <w:rFonts w:ascii="Arial" w:eastAsia="Times New Roman" w:hAnsi="Arial" w:cs="Arial"/>
          <w:color w:val="575757"/>
          <w:sz w:val="24"/>
          <w:szCs w:val="24"/>
          <w:lang w:eastAsia="tr-TR"/>
        </w:rPr>
        <w:t xml:space="preserve">silmeyecek ve tarh edilen vergi </w:t>
      </w:r>
      <w:r w:rsidRPr="0006343D">
        <w:rPr>
          <w:rFonts w:ascii="Arial" w:eastAsia="Times New Roman" w:hAnsi="Arial" w:cs="Arial"/>
          <w:color w:val="575757"/>
          <w:sz w:val="24"/>
          <w:szCs w:val="24"/>
          <w:lang w:eastAsia="tr-TR"/>
        </w:rPr>
        <w:t>için gecikme faizi hesaplanmayacaktır.</w:t>
      </w:r>
    </w:p>
    <w:p w:rsidR="004E1670" w:rsidRPr="0006343D" w:rsidRDefault="004E1670" w:rsidP="0006343D">
      <w:pPr>
        <w:jc w:val="both"/>
        <w:rPr>
          <w:sz w:val="24"/>
          <w:szCs w:val="24"/>
        </w:rPr>
      </w:pPr>
    </w:p>
    <w:sectPr w:rsidR="004E1670" w:rsidRPr="0006343D" w:rsidSect="004E1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343D"/>
    <w:rsid w:val="0006343D"/>
    <w:rsid w:val="004E1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670"/>
  </w:style>
  <w:style w:type="paragraph" w:styleId="Balk1">
    <w:name w:val="heading 1"/>
    <w:basedOn w:val="Normal"/>
    <w:link w:val="Balk1Char"/>
    <w:uiPriority w:val="9"/>
    <w:qFormat/>
    <w:rsid w:val="000634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6343D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063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4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832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1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1199</Words>
  <Characters>6836</Characters>
  <Application>Microsoft Office Word</Application>
  <DocSecurity>0</DocSecurity>
  <Lines>56</Lines>
  <Paragraphs>16</Paragraphs>
  <ScaleCrop>false</ScaleCrop>
  <Company/>
  <LinksUpToDate>false</LinksUpToDate>
  <CharactersWithSpaces>8019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2022-09-01T08:30:00Z</dcterms:created>
  <dcterms:modified xsi:type="dcterms:W3CDTF">2022-09-01T08:37:00Z</dcterms:modified>
</cp:coreProperties>
</file>