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C2" w:rsidRPr="00EC16C2" w:rsidRDefault="00EC16C2" w:rsidP="00EC16C2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EC16C2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Konut Yapı Kooperatifine yapılan inşaat taahhüt işinde KDV oranı</w:t>
      </w:r>
    </w:p>
    <w:p w:rsidR="00EC16C2" w:rsidRPr="00EC16C2" w:rsidRDefault="00EC16C2" w:rsidP="00EC16C2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EC16C2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Sayı: </w:t>
      </w:r>
      <w:proofErr w:type="gramStart"/>
      <w:r w:rsidRPr="00EC16C2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84974990</w:t>
      </w:r>
      <w:proofErr w:type="gramEnd"/>
      <w:r w:rsidRPr="00EC16C2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-130[KDV5.İ/8/2016/21]-126289</w:t>
      </w:r>
    </w:p>
    <w:p w:rsidR="00EC16C2" w:rsidRPr="00EC16C2" w:rsidRDefault="00EC16C2" w:rsidP="00EC16C2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EC16C2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Tarih: </w:t>
      </w:r>
      <w:proofErr w:type="gramStart"/>
      <w:r w:rsidRPr="00EC16C2">
        <w:rPr>
          <w:rFonts w:ascii="Arial" w:eastAsia="Times New Roman" w:hAnsi="Arial" w:cs="Arial"/>
          <w:color w:val="494949"/>
          <w:sz w:val="20"/>
          <w:lang w:eastAsia="tr-TR"/>
        </w:rPr>
        <w:t>21/04/2017</w:t>
      </w:r>
      <w:proofErr w:type="gramEnd"/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49"/>
        <w:gridCol w:w="188"/>
        <w:gridCol w:w="4398"/>
        <w:gridCol w:w="2455"/>
        <w:gridCol w:w="2710"/>
      </w:tblGrid>
      <w:tr w:rsidR="00EC16C2" w:rsidRPr="00EC16C2" w:rsidTr="00EC16C2">
        <w:tc>
          <w:tcPr>
            <w:tcW w:w="10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GELİR İDARESİ BAŞKANLIĞI</w:t>
            </w:r>
          </w:p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ANKARA VERGİ DAİRESİ BAŞKANLIĞI</w:t>
            </w:r>
          </w:p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(Mükellef Hizmetleri KDV ve Diğer Vergiler Grup Müdürlüğü)</w:t>
            </w:r>
          </w:p>
        </w:tc>
      </w:tr>
      <w:tr w:rsidR="00EC16C2" w:rsidRPr="00EC16C2" w:rsidTr="00EC16C2">
        <w:tc>
          <w:tcPr>
            <w:tcW w:w="5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EC16C2" w:rsidRPr="00EC16C2" w:rsidTr="00EC16C2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Sayı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84974990</w:t>
            </w:r>
            <w:proofErr w:type="gramEnd"/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-130[KDV5.İ/8/2016/21]-126289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21.04.2017</w:t>
            </w:r>
          </w:p>
        </w:tc>
      </w:tr>
      <w:tr w:rsidR="00EC16C2" w:rsidRPr="00EC16C2" w:rsidTr="00EC16C2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Konut Yapı Kooperatifine yapılan inşaat taahhüt işinde KDV oranı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EC16C2" w:rsidRPr="00EC16C2" w:rsidRDefault="00EC16C2" w:rsidP="00EC16C2">
      <w:pPr>
        <w:spacing w:after="150" w:line="240" w:lineRule="auto"/>
        <w:jc w:val="center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55"/>
        <w:gridCol w:w="137"/>
        <w:gridCol w:w="9608"/>
      </w:tblGrid>
      <w:tr w:rsidR="00EC16C2" w:rsidRPr="00EC16C2" w:rsidTr="00EC16C2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İlgi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6C2" w:rsidRPr="00EC16C2" w:rsidRDefault="00EC16C2" w:rsidP="00EC16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13.12.2016 tarihli </w:t>
            </w:r>
            <w:proofErr w:type="spellStart"/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özelge</w:t>
            </w:r>
            <w:proofErr w:type="spellEnd"/>
            <w:r w:rsidRPr="00EC16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talep formunuz.</w:t>
            </w:r>
          </w:p>
        </w:tc>
      </w:tr>
    </w:tbl>
    <w:p w:rsidR="00EC16C2" w:rsidRPr="00EC16C2" w:rsidRDefault="00EC16C2" w:rsidP="00EC16C2">
      <w:pPr>
        <w:spacing w:before="240"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İlgide kayıtlı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talep formunuzda, Kooperatifinize yapılacak olan "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fore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kazık, hafriyat alımı ve inşaat alanında tesviye işleri ile artezyen kuyusu" işlerine uygulanması gereken katma değer vergisi (KDV) oranı hususunda Başkanlığımız görüşü istenilmektedir.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</w:t>
      </w:r>
      <w:proofErr w:type="gram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KDV oranları, 3065 sayılı Katma Değer Vergisi Kanununun 28 inci maddesinin verdiği yetkiye dayanılarak yayımlanan 2007/13033 sayılı Bakanlar Kurulu Kararı (BKK) eki (I) sayılı listede yer alan teslim ve hizmetler için % 1, (II) sayılı listede yer alan teslim ve hizmetler için % 8, bu listelerde yer almayan vergiye tabi işlemler için % 18 olarak tespit edilmiştir.</w:t>
      </w:r>
      <w:proofErr w:type="gramEnd"/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Anılan Kanunun geçici 15 inci maddesi ile </w:t>
      </w:r>
      <w:proofErr w:type="gram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29/7/1998</w:t>
      </w:r>
      <w:proofErr w:type="gram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tarihinden önce bina inşaat ruhsatı almış olan konut yapı kooperatiflerine yapılan inşaat taahhüt işleri KDV'den istisna edilmiştir.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Öte yandan, 2007/13033 sayılı BKK eki (I) sayılı listenin 12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nci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sırasında konut yapı kooperatiflerine yapılan inşaat taahhüt işleri % 1 oranında KDV'ye tabi tutulmuştur.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Bu çerçevede, konut yapı kooperatiflerine ifa edilecek inşaat taahhüt işleri, bina inşaat ruhsatı </w:t>
      </w:r>
      <w:proofErr w:type="gram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29/7/1998</w:t>
      </w:r>
      <w:proofErr w:type="gram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tarihinden önce alınmış ise KDV'den istisna tutulmakta, bina inşaat ruhsatı bu tarihten sonra alınmışsa söz konusu işlere (% 1) oranında KDV uygulanmaktadır.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Bu bağlamda, ilgide kayıtlı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talep formunuz ekindeki yapı ruhsatı ve tapu fotokopisinin tetkik edilmesi neticesinde, 3.11.2016 tarihli yapı ruhsatının ve 29.07.2015 tarihli tapu senedinin düzenlendiği tespit edilmiştir.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60 No.lu KDV Sirkülerinin "İstisna veya İndirimli Oran Uygulaması Kapsamına Giren İşlemler" başlıklı (3.6.5.1.) bölümünde, inşaat taahhüt işi kapsamında değerlendirilebileceği anlaşılan işler belirtilmiştir.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lastRenderedPageBreak/>
        <w:t xml:space="preserve">            Buna göre, Kooperatifinize taahhüde dayalı olarak yapılacak olan artezyen kuyusu ve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fore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kazık işleri inşaat taahhüt işi kapsamında % 1 oranında KDV'ye tabidir. Ancak,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fore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kazık işlerine ait </w:t>
      </w:r>
      <w:r w:rsidRPr="00EC16C2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plan-proje çiziminin</w:t>
      </w: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(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fore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kazık uygulama projesinin hazırlanması, onaylatılması) inşaat taahhüt işi kapsamında değerlendirilmesi mümkün olmadığından, bunlara % 18 oranında KDV uygulanması gerekmektedir.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Ayrıca, tek başına inşaat taahhüt işi kapsamına girmeyen hafriyat işleri de genel oranda (% 18) KDV'ye tabidir. Ancak, hafriyat işi ile inşaat alanında tesviye işlerinin birlikte yapılması halinde bu işlerin inşaat taahhüt işi kapsamında değerlendirilmesi ve % 1 oranında KDV'ye tabi tutulması gerekmektedir.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Bilgi edinilmesini rica ederim.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(</w:t>
      </w:r>
      <w:r w:rsidRPr="00EC16C2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</w:t>
      </w: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   Bu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213 sayılı Vergi Usul Kanununun 413.maddesine dayanılarak verilmiştir.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(</w:t>
      </w:r>
      <w:r w:rsidRPr="00EC16C2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**</w:t>
      </w: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 İnceleme, yargı ya da uzlaşmada olduğu halde bu konuya ilişkin olarak yanlış bilgi verilmiş ise bu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geçersizdir.</w:t>
      </w:r>
    </w:p>
    <w:p w:rsidR="00EC16C2" w:rsidRPr="00EC16C2" w:rsidRDefault="00EC16C2" w:rsidP="00EC16C2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özelgeye</w:t>
      </w:r>
      <w:proofErr w:type="spellEnd"/>
      <w:r w:rsidRPr="00EC16C2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uygun işlem yapmanız hâlinde, bu fiilleriniz dolayısıyla vergi tarh edilmesi icap ederse, tarafınıza vergi cezası kesilmeyecek ve tarh edilen vergi için gecikme faizi hesaplanmayacaktır.</w:t>
      </w:r>
    </w:p>
    <w:p w:rsidR="002E2E74" w:rsidRPr="00EC16C2" w:rsidRDefault="002E2E74" w:rsidP="00EC16C2">
      <w:pPr>
        <w:jc w:val="both"/>
        <w:rPr>
          <w:sz w:val="24"/>
          <w:szCs w:val="24"/>
        </w:rPr>
      </w:pPr>
    </w:p>
    <w:sectPr w:rsidR="002E2E74" w:rsidRPr="00EC16C2" w:rsidSect="002E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6C2"/>
    <w:rsid w:val="002E2E74"/>
    <w:rsid w:val="00EC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74"/>
  </w:style>
  <w:style w:type="paragraph" w:styleId="Balk1">
    <w:name w:val="heading 1"/>
    <w:basedOn w:val="Normal"/>
    <w:link w:val="Balk1Char"/>
    <w:uiPriority w:val="9"/>
    <w:qFormat/>
    <w:rsid w:val="00EC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C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16C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C16C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C16C2"/>
    <w:rPr>
      <w:color w:val="0000FF"/>
      <w:u w:val="single"/>
    </w:rPr>
  </w:style>
  <w:style w:type="character" w:customStyle="1" w:styleId="date-display-single">
    <w:name w:val="date-display-single"/>
    <w:basedOn w:val="VarsaylanParagrafYazTipi"/>
    <w:rsid w:val="00EC16C2"/>
  </w:style>
  <w:style w:type="paragraph" w:styleId="NormalWeb">
    <w:name w:val="Normal (Web)"/>
    <w:basedOn w:val="Normal"/>
    <w:uiPriority w:val="99"/>
    <w:unhideWhenUsed/>
    <w:rsid w:val="00EC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C16C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78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648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55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8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197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4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2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0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8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2022-09-09T12:05:00Z</dcterms:created>
  <dcterms:modified xsi:type="dcterms:W3CDTF">2022-09-09T12:05:00Z</dcterms:modified>
</cp:coreProperties>
</file>