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4" w:rsidRPr="000B0F74" w:rsidRDefault="000B0F74" w:rsidP="000B0F74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015B65"/>
          <w:sz w:val="28"/>
          <w:szCs w:val="28"/>
          <w:lang w:eastAsia="tr-TR"/>
        </w:rPr>
      </w:pPr>
      <w:r w:rsidRPr="000B0F74">
        <w:rPr>
          <w:rFonts w:ascii="Arial" w:eastAsia="Times New Roman" w:hAnsi="Arial" w:cs="Arial"/>
          <w:b/>
          <w:bCs/>
          <w:color w:val="015B65"/>
          <w:sz w:val="28"/>
          <w:szCs w:val="28"/>
          <w:lang w:eastAsia="tr-TR"/>
        </w:rPr>
        <w:t>Okul Kantinlerinde Satılacak Gıdalar ve Eğitim Kurumlarındaki Gıda İşletmelerinin Hijyen Yönünden Denetlenmesine Dair Genelge Hakkında</w:t>
      </w:r>
    </w:p>
    <w:p w:rsidR="000B0F74" w:rsidRDefault="000B0F74" w:rsidP="000B0F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0B0F74">
        <w:rPr>
          <w:rFonts w:ascii="Arial" w:eastAsia="Times New Roman" w:hAnsi="Arial" w:cs="Arial"/>
          <w:b/>
          <w:bCs/>
          <w:color w:val="212529"/>
          <w:sz w:val="27"/>
          <w:lang w:eastAsia="tr-TR"/>
        </w:rPr>
        <w:t>Sayın Üyemiz,</w:t>
      </w:r>
    </w:p>
    <w:p w:rsidR="000B0F74" w:rsidRDefault="000B0F74" w:rsidP="000B0F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</w:p>
    <w:p w:rsidR="000B0F74" w:rsidRDefault="000B0F74" w:rsidP="000B0F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proofErr w:type="gramStart"/>
      <w:r w:rsidRPr="000B0F74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Türkiye Odalar ve Borsalar Birliği’nden Odamıza iletilen 26.09.2022 tarihli yazıda, Birliklerine T.C. Milli Eğitim Bakanlığı’ndan iletilen 19.09.2022 tarihli yazıdan bahisle; Okul Kantinlerinde Satılacak Gıdalar ve Eğitim Kurumlarındaki Gıda İşletmelerinin Hijyen Yönünden Denetlenmesine Dair Genelge gereğince, okul/kurum gıda işletmelerinin denetimleri hakkında yayımlanan doküman ve belgelerin güncelliğinin ilgili taraflarca takip edilmesi ve okul/kurum gıda işletmelerinin denetim, rehberlik, gözetim hizmetlerinin hassasiyetle yürütülmesi gerektiğinin belirtildiği ifade edilmektedir. </w:t>
      </w:r>
      <w:proofErr w:type="gramEnd"/>
      <w:r w:rsidRPr="000B0F74">
        <w:rPr>
          <w:rFonts w:ascii="Arial" w:eastAsia="Times New Roman" w:hAnsi="Arial" w:cs="Arial"/>
          <w:color w:val="212529"/>
          <w:sz w:val="27"/>
          <w:szCs w:val="27"/>
          <w:lang w:eastAsia="tr-TR"/>
        </w:rPr>
        <w:br/>
      </w:r>
      <w:r w:rsidRPr="000B0F74">
        <w:rPr>
          <w:rFonts w:ascii="Arial" w:eastAsia="Times New Roman" w:hAnsi="Arial" w:cs="Arial"/>
          <w:color w:val="212529"/>
          <w:sz w:val="27"/>
          <w:szCs w:val="27"/>
          <w:lang w:eastAsia="tr-TR"/>
        </w:rPr>
        <w:br/>
        <w:t xml:space="preserve">Bunun yanında, T.C. Milli Eğitim Bakanlığı’na ait resmi internet sayfasında; 10.03.2022 tarihinde yayımlanan Sağlık Bakanlığı Bilim Kurulu Kararı ile “Eğitim Kurumlarında Satışı Uygun Olan ve Olmayan Gıda ve </w:t>
      </w:r>
      <w:proofErr w:type="spellStart"/>
      <w:r w:rsidRPr="000B0F74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İçecekler”e</w:t>
      </w:r>
      <w:proofErr w:type="spellEnd"/>
      <w:r w:rsidRPr="000B0F74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 dair bir lis</w:t>
      </w:r>
      <w:r>
        <w:rPr>
          <w:rFonts w:ascii="Arial" w:eastAsia="Times New Roman" w:hAnsi="Arial" w:cs="Arial"/>
          <w:color w:val="212529"/>
          <w:sz w:val="27"/>
          <w:szCs w:val="27"/>
          <w:lang w:eastAsia="tr-TR"/>
        </w:rPr>
        <w:t>te açıklandığı görülmektedir. </w:t>
      </w:r>
    </w:p>
    <w:p w:rsidR="000B0F74" w:rsidRDefault="000B0F74" w:rsidP="000B0F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</w:p>
    <w:p w:rsidR="000B0F74" w:rsidRDefault="000B0F74" w:rsidP="000B0F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0B0F74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Söz konusu listede; eğitim kurumlarında satışa uygun olan/olmayan ürünlerin yanı sıra bazı ürünlerin satışa uygun olması için gerekli koşullar da yer almakta olup, ekt</w:t>
      </w:r>
      <w:r>
        <w:rPr>
          <w:rFonts w:ascii="Arial" w:eastAsia="Times New Roman" w:hAnsi="Arial" w:cs="Arial"/>
          <w:color w:val="212529"/>
          <w:sz w:val="27"/>
          <w:szCs w:val="27"/>
          <w:lang w:eastAsia="tr-TR"/>
        </w:rPr>
        <w:t>e bilgilerinize sunulmaktadır.</w:t>
      </w:r>
    </w:p>
    <w:p w:rsidR="000B0F74" w:rsidRDefault="000B0F74" w:rsidP="000B0F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</w:p>
    <w:p w:rsidR="000B0F74" w:rsidRPr="000B0F74" w:rsidRDefault="000B0F74" w:rsidP="000B0F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0B0F74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Saygılarımızla,</w:t>
      </w:r>
    </w:p>
    <w:p w:rsidR="00F523D6" w:rsidRDefault="00F523D6" w:rsidP="000B0F74">
      <w:pPr>
        <w:shd w:val="clear" w:color="auto" w:fill="FFFFFF"/>
        <w:spacing w:after="525" w:line="240" w:lineRule="auto"/>
        <w:outlineLvl w:val="2"/>
        <w:rPr>
          <w:rFonts w:ascii="Arial" w:eastAsia="Times New Roman" w:hAnsi="Arial" w:cs="Arial"/>
          <w:b/>
          <w:bCs/>
          <w:color w:val="015B65"/>
          <w:sz w:val="42"/>
          <w:szCs w:val="42"/>
          <w:lang w:eastAsia="tr-TR"/>
        </w:rPr>
      </w:pPr>
    </w:p>
    <w:p w:rsidR="000B0F74" w:rsidRPr="000B0F74" w:rsidRDefault="000B0F74" w:rsidP="000B0F74">
      <w:pPr>
        <w:shd w:val="clear" w:color="auto" w:fill="FFFFFF"/>
        <w:spacing w:after="525" w:line="240" w:lineRule="auto"/>
        <w:outlineLvl w:val="2"/>
        <w:rPr>
          <w:rFonts w:ascii="Arial" w:eastAsia="Times New Roman" w:hAnsi="Arial" w:cs="Arial"/>
          <w:b/>
          <w:bCs/>
          <w:color w:val="015B65"/>
          <w:sz w:val="42"/>
          <w:szCs w:val="42"/>
          <w:lang w:eastAsia="tr-TR"/>
        </w:rPr>
      </w:pPr>
      <w:r w:rsidRPr="000B0F74">
        <w:rPr>
          <w:rFonts w:ascii="Arial" w:eastAsia="Times New Roman" w:hAnsi="Arial" w:cs="Arial"/>
          <w:b/>
          <w:bCs/>
          <w:color w:val="015B65"/>
          <w:sz w:val="42"/>
          <w:szCs w:val="42"/>
          <w:lang w:eastAsia="tr-TR"/>
        </w:rPr>
        <w:t>Dokümanlar</w:t>
      </w:r>
    </w:p>
    <w:p w:rsidR="000B0F74" w:rsidRPr="000B0F74" w:rsidRDefault="000B0F74" w:rsidP="000B0F74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4" w:tgtFrame="_blank" w:history="1">
        <w:r>
          <w:rPr>
            <w:rFonts w:ascii="Arial" w:eastAsia="Times New Roman" w:hAnsi="Arial" w:cs="Arial"/>
            <w:noProof/>
            <w:color w:val="007BFF"/>
            <w:sz w:val="24"/>
            <w:szCs w:val="24"/>
            <w:bdr w:val="single" w:sz="6" w:space="15" w:color="D1D1D1" w:frame="1"/>
            <w:shd w:val="clear" w:color="auto" w:fill="FFFFFF"/>
            <w:lang w:eastAsia="tr-TR"/>
          </w:rPr>
          <w:drawing>
            <wp:inline distT="0" distB="0" distL="0" distR="0">
              <wp:extent cx="1781175" cy="800100"/>
              <wp:effectExtent l="19050" t="0" r="9525" b="0"/>
              <wp:docPr id="1" name="Resim 1" descr="Genelge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nelge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117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0B0F74">
          <w:rPr>
            <w:rFonts w:ascii="Arial" w:eastAsia="Times New Roman" w:hAnsi="Arial" w:cs="Arial"/>
            <w:b/>
            <w:bCs/>
            <w:color w:val="015B65"/>
            <w:sz w:val="24"/>
            <w:szCs w:val="24"/>
            <w:u w:val="single"/>
            <w:lang w:eastAsia="tr-TR"/>
          </w:rPr>
          <w:t>Genel</w:t>
        </w:r>
        <w:r w:rsidRPr="000B0F74">
          <w:rPr>
            <w:rFonts w:ascii="Arial" w:eastAsia="Times New Roman" w:hAnsi="Arial" w:cs="Arial"/>
            <w:b/>
            <w:bCs/>
            <w:color w:val="015B65"/>
            <w:sz w:val="24"/>
            <w:szCs w:val="24"/>
            <w:u w:val="single"/>
            <w:lang w:eastAsia="tr-TR"/>
          </w:rPr>
          <w:t>g</w:t>
        </w:r>
        <w:r w:rsidRPr="000B0F74">
          <w:rPr>
            <w:rFonts w:ascii="Arial" w:eastAsia="Times New Roman" w:hAnsi="Arial" w:cs="Arial"/>
            <w:b/>
            <w:bCs/>
            <w:color w:val="015B65"/>
            <w:sz w:val="24"/>
            <w:szCs w:val="24"/>
            <w:u w:val="single"/>
            <w:lang w:eastAsia="tr-TR"/>
          </w:rPr>
          <w:t>e</w:t>
        </w:r>
      </w:hyperlink>
    </w:p>
    <w:p w:rsidR="00B20E9C" w:rsidRDefault="00B20E9C"/>
    <w:sectPr w:rsidR="00B20E9C" w:rsidSect="00B2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0F74"/>
    <w:rsid w:val="000B0F74"/>
    <w:rsid w:val="00B20E9C"/>
    <w:rsid w:val="00F5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9C"/>
  </w:style>
  <w:style w:type="paragraph" w:styleId="Balk2">
    <w:name w:val="heading 2"/>
    <w:basedOn w:val="Normal"/>
    <w:link w:val="Balk2Char"/>
    <w:uiPriority w:val="9"/>
    <w:qFormat/>
    <w:rsid w:val="000B0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0B0F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B0F7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B0F7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B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B0F7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0B0F7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5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25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9496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ito.org.tr/documents/10182459-saglik_bakanligi_blm_kurulu_karar_tutanagi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dcterms:created xsi:type="dcterms:W3CDTF">2022-10-14T11:54:00Z</dcterms:created>
  <dcterms:modified xsi:type="dcterms:W3CDTF">2022-10-14T11:56:00Z</dcterms:modified>
</cp:coreProperties>
</file>