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2BC" w:rsidRPr="009122BC" w:rsidRDefault="009122BC" w:rsidP="00485743">
      <w:pPr>
        <w:spacing w:after="155" w:line="650" w:lineRule="atLeast"/>
        <w:jc w:val="both"/>
        <w:outlineLvl w:val="0"/>
        <w:rPr>
          <w:rFonts w:ascii="Arial" w:eastAsia="Times New Roman" w:hAnsi="Arial" w:cs="Arial"/>
          <w:color w:val="222222"/>
          <w:kern w:val="36"/>
          <w:sz w:val="56"/>
          <w:szCs w:val="56"/>
          <w:lang w:eastAsia="tr-TR"/>
        </w:rPr>
      </w:pPr>
      <w:r w:rsidRPr="009122BC">
        <w:rPr>
          <w:rFonts w:ascii="Arial" w:eastAsia="Times New Roman" w:hAnsi="Arial" w:cs="Arial"/>
          <w:color w:val="222222"/>
          <w:kern w:val="36"/>
          <w:sz w:val="56"/>
          <w:szCs w:val="56"/>
          <w:lang w:eastAsia="tr-TR"/>
        </w:rPr>
        <w:t>Hangi şehirde kaç organize sanayi bölgesi var?</w:t>
      </w:r>
    </w:p>
    <w:p w:rsidR="009122BC" w:rsidRPr="009122BC" w:rsidRDefault="009122BC" w:rsidP="00485743">
      <w:pPr>
        <w:spacing w:after="0" w:line="418" w:lineRule="atLeast"/>
        <w:jc w:val="both"/>
        <w:outlineLvl w:val="1"/>
        <w:rPr>
          <w:rFonts w:ascii="Arial" w:eastAsia="Times New Roman" w:hAnsi="Arial" w:cs="Arial"/>
          <w:color w:val="444444"/>
          <w:sz w:val="28"/>
          <w:szCs w:val="28"/>
          <w:lang w:eastAsia="tr-TR"/>
        </w:rPr>
      </w:pPr>
      <w:r w:rsidRPr="009122BC">
        <w:rPr>
          <w:rFonts w:ascii="Arial" w:eastAsia="Times New Roman" w:hAnsi="Arial" w:cs="Arial"/>
          <w:color w:val="444444"/>
          <w:sz w:val="28"/>
          <w:szCs w:val="28"/>
          <w:lang w:eastAsia="tr-TR"/>
        </w:rPr>
        <w:t>Şehir merkezinden uzak, çevreci ve enerji maliyetlerini düşüren bir sanayileşme modeli olarak bilinen Organize Sanayi Bölgelerinin (OSB) sayısı yıllar içinde arttı. OSB'lerin il bazında dağılımı şöyle:</w:t>
      </w:r>
    </w:p>
    <w:p w:rsidR="009122BC" w:rsidRPr="009122BC" w:rsidRDefault="009122BC" w:rsidP="00485743">
      <w:pPr>
        <w:spacing w:after="0" w:line="240" w:lineRule="auto"/>
        <w:jc w:val="both"/>
        <w:rPr>
          <w:rFonts w:ascii="Times New Roman" w:eastAsia="Times New Roman" w:hAnsi="Times New Roman" w:cs="Times New Roman"/>
          <w:sz w:val="24"/>
          <w:szCs w:val="24"/>
          <w:lang w:eastAsia="tr-TR"/>
        </w:rPr>
      </w:pPr>
    </w:p>
    <w:p w:rsidR="009122BC" w:rsidRPr="009122BC" w:rsidRDefault="009122BC" w:rsidP="00485743">
      <w:pPr>
        <w:shd w:val="clear" w:color="auto" w:fill="FAF8F8"/>
        <w:spacing w:after="310" w:line="465" w:lineRule="atLeast"/>
        <w:jc w:val="both"/>
        <w:rPr>
          <w:rFonts w:ascii="Times New Roman" w:eastAsia="Times New Roman" w:hAnsi="Times New Roman" w:cs="Times New Roman"/>
          <w:color w:val="333333"/>
          <w:sz w:val="28"/>
          <w:szCs w:val="28"/>
          <w:lang w:eastAsia="tr-TR"/>
        </w:rPr>
      </w:pPr>
      <w:r w:rsidRPr="009122BC">
        <w:rPr>
          <w:rFonts w:ascii="Times New Roman" w:eastAsia="Times New Roman" w:hAnsi="Times New Roman" w:cs="Times New Roman"/>
          <w:color w:val="333333"/>
          <w:sz w:val="28"/>
          <w:szCs w:val="28"/>
          <w:lang w:eastAsia="tr-TR"/>
        </w:rPr>
        <w:t>Gaziantep-Kilis arasında ortak OSB kurulmasına ilişkin dosyanın Bilim, Sanayi ve Teknoloji Bakanlığına sunulmasıyla yeniden </w:t>
      </w:r>
      <w:hyperlink r:id="rId5" w:tgtFrame="_blank" w:tooltip="Güncel Haberleri" w:history="1">
        <w:r w:rsidRPr="009122BC">
          <w:rPr>
            <w:rFonts w:ascii="Times New Roman" w:eastAsia="Times New Roman" w:hAnsi="Times New Roman" w:cs="Times New Roman"/>
            <w:color w:val="11648D"/>
            <w:sz w:val="28"/>
            <w:lang w:eastAsia="tr-TR"/>
          </w:rPr>
          <w:t>gündem</w:t>
        </w:r>
      </w:hyperlink>
      <w:r w:rsidRPr="009122BC">
        <w:rPr>
          <w:rFonts w:ascii="Times New Roman" w:eastAsia="Times New Roman" w:hAnsi="Times New Roman" w:cs="Times New Roman"/>
          <w:color w:val="333333"/>
          <w:sz w:val="28"/>
          <w:szCs w:val="28"/>
          <w:lang w:eastAsia="tr-TR"/>
        </w:rPr>
        <w:t>e gelen OSB'ler, zamanla geleneksel sanayi sitelerinin yerini almaya başladı.</w:t>
      </w:r>
    </w:p>
    <w:p w:rsidR="009122BC" w:rsidRPr="009122BC" w:rsidRDefault="009122BC" w:rsidP="00485743">
      <w:pPr>
        <w:shd w:val="clear" w:color="auto" w:fill="FAF8F8"/>
        <w:spacing w:after="310" w:line="465" w:lineRule="atLeast"/>
        <w:jc w:val="both"/>
        <w:rPr>
          <w:rFonts w:ascii="Times New Roman" w:eastAsia="Times New Roman" w:hAnsi="Times New Roman" w:cs="Times New Roman"/>
          <w:color w:val="333333"/>
          <w:sz w:val="28"/>
          <w:szCs w:val="28"/>
          <w:lang w:eastAsia="tr-TR"/>
        </w:rPr>
      </w:pPr>
      <w:r w:rsidRPr="009122BC">
        <w:rPr>
          <w:rFonts w:ascii="Times New Roman" w:eastAsia="Times New Roman" w:hAnsi="Times New Roman" w:cs="Times New Roman"/>
          <w:color w:val="333333"/>
          <w:sz w:val="28"/>
          <w:szCs w:val="28"/>
          <w:lang w:eastAsia="tr-TR"/>
        </w:rPr>
        <w:t>AA muhabirinin derlediği bilgilere göre, kentlerin planlı gelişmesine katkıda bulunulması, verimlilik ve kar artışı sağlaması, sanayinin az gelişmiş bölgelerde yaygınlaştırılması gibi avantajları olan OSB'lerin ilki 1962 yılında Bursa'da kuruldu.</w:t>
      </w:r>
    </w:p>
    <w:p w:rsidR="00DF21DA" w:rsidRPr="00D742D0" w:rsidRDefault="00A84907" w:rsidP="00485743">
      <w:pPr>
        <w:shd w:val="clear" w:color="auto" w:fill="FFFFFF"/>
        <w:spacing w:before="124" w:after="186" w:line="588" w:lineRule="atLeast"/>
        <w:jc w:val="both"/>
        <w:outlineLvl w:val="1"/>
        <w:rPr>
          <w:rFonts w:ascii="Arial" w:eastAsia="Times New Roman" w:hAnsi="Arial" w:cs="Arial"/>
          <w:b/>
          <w:bCs/>
          <w:color w:val="1F1F1F"/>
          <w:sz w:val="44"/>
          <w:szCs w:val="44"/>
          <w:lang w:eastAsia="tr-TR"/>
        </w:rPr>
      </w:pPr>
      <w:r>
        <w:rPr>
          <w:rFonts w:ascii="Arial" w:eastAsia="Times New Roman" w:hAnsi="Arial" w:cs="Arial"/>
          <w:b/>
          <w:bCs/>
          <w:color w:val="1F1F1F"/>
          <w:sz w:val="44"/>
          <w:szCs w:val="44"/>
          <w:lang w:eastAsia="tr-TR"/>
        </w:rPr>
        <w:t>TÜRKİYE’DE OSB SAYISI 37</w:t>
      </w:r>
      <w:r w:rsidR="00DF21DA" w:rsidRPr="00D742D0">
        <w:rPr>
          <w:rFonts w:ascii="Arial" w:eastAsia="Times New Roman" w:hAnsi="Arial" w:cs="Arial"/>
          <w:b/>
          <w:bCs/>
          <w:color w:val="1F1F1F"/>
          <w:sz w:val="44"/>
          <w:szCs w:val="44"/>
          <w:lang w:eastAsia="tr-TR"/>
        </w:rPr>
        <w:t>7’YE ULAŞTI</w:t>
      </w:r>
    </w:p>
    <w:p w:rsidR="009122BC" w:rsidRPr="009122BC" w:rsidRDefault="00DF21DA" w:rsidP="00485743">
      <w:pPr>
        <w:shd w:val="clear" w:color="auto" w:fill="FAF8F8"/>
        <w:spacing w:after="310" w:line="465" w:lineRule="atLeast"/>
        <w:jc w:val="both"/>
        <w:rPr>
          <w:rFonts w:ascii="Times New Roman" w:eastAsia="Times New Roman" w:hAnsi="Times New Roman" w:cs="Times New Roman"/>
          <w:color w:val="333333"/>
          <w:sz w:val="28"/>
          <w:szCs w:val="28"/>
          <w:lang w:eastAsia="tr-TR"/>
        </w:rPr>
      </w:pPr>
      <w:r>
        <w:rPr>
          <w:rFonts w:ascii="Times New Roman" w:eastAsia="Times New Roman" w:hAnsi="Times New Roman" w:cs="Times New Roman"/>
          <w:color w:val="333333"/>
          <w:sz w:val="28"/>
          <w:szCs w:val="28"/>
          <w:lang w:eastAsia="tr-TR"/>
        </w:rPr>
        <w:t>B</w:t>
      </w:r>
      <w:r w:rsidR="009122BC" w:rsidRPr="009122BC">
        <w:rPr>
          <w:rFonts w:ascii="Times New Roman" w:eastAsia="Times New Roman" w:hAnsi="Times New Roman" w:cs="Times New Roman"/>
          <w:color w:val="333333"/>
          <w:sz w:val="28"/>
          <w:szCs w:val="28"/>
          <w:lang w:eastAsia="tr-TR"/>
        </w:rPr>
        <w:t>unların 33'ü ihtisas, 10'u Gıda, Tarım ve Hayvancılık Bakanlığına bağlı, 7'si ıslah, 2'si özel, kalanı da karma OSB olarak faaliyet gösteriyor.</w:t>
      </w:r>
    </w:p>
    <w:p w:rsidR="009122BC" w:rsidRPr="009122BC" w:rsidRDefault="009122BC" w:rsidP="00485743">
      <w:pPr>
        <w:shd w:val="clear" w:color="auto" w:fill="FAF8F8"/>
        <w:spacing w:after="310" w:line="465" w:lineRule="atLeast"/>
        <w:jc w:val="both"/>
        <w:rPr>
          <w:rFonts w:ascii="Times New Roman" w:eastAsia="Times New Roman" w:hAnsi="Times New Roman" w:cs="Times New Roman"/>
          <w:color w:val="333333"/>
          <w:sz w:val="28"/>
          <w:szCs w:val="28"/>
          <w:lang w:eastAsia="tr-TR"/>
        </w:rPr>
      </w:pPr>
      <w:r w:rsidRPr="009122BC">
        <w:rPr>
          <w:rFonts w:ascii="Times New Roman" w:eastAsia="Times New Roman" w:hAnsi="Times New Roman" w:cs="Times New Roman"/>
          <w:b/>
          <w:bCs/>
          <w:color w:val="0000FF"/>
          <w:sz w:val="28"/>
          <w:lang w:eastAsia="tr-TR"/>
        </w:rPr>
        <w:t>Batı illeri öncü</w:t>
      </w:r>
    </w:p>
    <w:p w:rsidR="009122BC" w:rsidRPr="009122BC" w:rsidRDefault="009122BC" w:rsidP="00485743">
      <w:pPr>
        <w:shd w:val="clear" w:color="auto" w:fill="FAF8F8"/>
        <w:spacing w:after="310" w:line="465" w:lineRule="atLeast"/>
        <w:jc w:val="both"/>
        <w:rPr>
          <w:rFonts w:ascii="Times New Roman" w:eastAsia="Times New Roman" w:hAnsi="Times New Roman" w:cs="Times New Roman"/>
          <w:color w:val="333333"/>
          <w:sz w:val="28"/>
          <w:szCs w:val="28"/>
          <w:lang w:eastAsia="tr-TR"/>
        </w:rPr>
      </w:pPr>
      <w:r w:rsidRPr="009122BC">
        <w:rPr>
          <w:rFonts w:ascii="Times New Roman" w:eastAsia="Times New Roman" w:hAnsi="Times New Roman" w:cs="Times New Roman"/>
          <w:color w:val="333333"/>
          <w:sz w:val="28"/>
          <w:szCs w:val="28"/>
          <w:lang w:eastAsia="tr-TR"/>
        </w:rPr>
        <w:t>Türkiye'nin batısındaki sanayileşmiş illerde daha fazla OSB'nin bulunduğu dikkati çekiyor.</w:t>
      </w:r>
    </w:p>
    <w:p w:rsidR="009122BC" w:rsidRPr="009122BC" w:rsidRDefault="009122BC" w:rsidP="00485743">
      <w:pPr>
        <w:shd w:val="clear" w:color="auto" w:fill="FAF8F8"/>
        <w:spacing w:after="310" w:line="465" w:lineRule="atLeast"/>
        <w:jc w:val="both"/>
        <w:rPr>
          <w:rFonts w:ascii="Times New Roman" w:eastAsia="Times New Roman" w:hAnsi="Times New Roman" w:cs="Times New Roman"/>
          <w:color w:val="333333"/>
          <w:sz w:val="28"/>
          <w:szCs w:val="28"/>
          <w:lang w:eastAsia="tr-TR"/>
        </w:rPr>
      </w:pPr>
      <w:r w:rsidRPr="009122BC">
        <w:rPr>
          <w:rFonts w:ascii="Times New Roman" w:eastAsia="Times New Roman" w:hAnsi="Times New Roman" w:cs="Times New Roman"/>
          <w:color w:val="333333"/>
          <w:sz w:val="28"/>
          <w:szCs w:val="28"/>
          <w:lang w:eastAsia="tr-TR"/>
        </w:rPr>
        <w:t xml:space="preserve">Bursa, İzmir ve Kocaeli 13'er OSB ile en fazla yapılanmanın bulunduğu iller olarak ön plana çıkarken, bu illeri sırasıyla Ankara (11) ve Tekirdağ (10) </w:t>
      </w:r>
      <w:proofErr w:type="gramStart"/>
      <w:r w:rsidRPr="009122BC">
        <w:rPr>
          <w:rFonts w:ascii="Times New Roman" w:eastAsia="Times New Roman" w:hAnsi="Times New Roman" w:cs="Times New Roman"/>
          <w:color w:val="333333"/>
          <w:sz w:val="28"/>
          <w:szCs w:val="28"/>
          <w:lang w:eastAsia="tr-TR"/>
        </w:rPr>
        <w:t>izliyor.OSB</w:t>
      </w:r>
      <w:proofErr w:type="gramEnd"/>
      <w:r w:rsidRPr="009122BC">
        <w:rPr>
          <w:rFonts w:ascii="Times New Roman" w:eastAsia="Times New Roman" w:hAnsi="Times New Roman" w:cs="Times New Roman"/>
          <w:color w:val="333333"/>
          <w:sz w:val="28"/>
          <w:szCs w:val="28"/>
          <w:lang w:eastAsia="tr-TR"/>
        </w:rPr>
        <w:t> bulunmayan tek il ise Artvin.</w:t>
      </w:r>
    </w:p>
    <w:p w:rsidR="009122BC" w:rsidRPr="009122BC" w:rsidRDefault="009122BC" w:rsidP="00485743">
      <w:pPr>
        <w:shd w:val="clear" w:color="auto" w:fill="FAF8F8"/>
        <w:spacing w:after="310" w:line="465" w:lineRule="atLeast"/>
        <w:jc w:val="both"/>
        <w:rPr>
          <w:rFonts w:ascii="Times New Roman" w:eastAsia="Times New Roman" w:hAnsi="Times New Roman" w:cs="Times New Roman"/>
          <w:color w:val="333333"/>
          <w:sz w:val="28"/>
          <w:szCs w:val="28"/>
          <w:lang w:eastAsia="tr-TR"/>
        </w:rPr>
      </w:pPr>
      <w:r w:rsidRPr="009122BC">
        <w:rPr>
          <w:rFonts w:ascii="Times New Roman" w:eastAsia="Times New Roman" w:hAnsi="Times New Roman" w:cs="Times New Roman"/>
          <w:color w:val="333333"/>
          <w:sz w:val="28"/>
          <w:szCs w:val="28"/>
          <w:lang w:eastAsia="tr-TR"/>
        </w:rPr>
        <w:t xml:space="preserve">Bölgesel </w:t>
      </w:r>
      <w:proofErr w:type="gramStart"/>
      <w:r w:rsidRPr="009122BC">
        <w:rPr>
          <w:rFonts w:ascii="Times New Roman" w:eastAsia="Times New Roman" w:hAnsi="Times New Roman" w:cs="Times New Roman"/>
          <w:color w:val="333333"/>
          <w:sz w:val="28"/>
          <w:szCs w:val="28"/>
          <w:lang w:eastAsia="tr-TR"/>
        </w:rPr>
        <w:t>bazda</w:t>
      </w:r>
      <w:proofErr w:type="gramEnd"/>
      <w:r w:rsidRPr="009122BC">
        <w:rPr>
          <w:rFonts w:ascii="Times New Roman" w:eastAsia="Times New Roman" w:hAnsi="Times New Roman" w:cs="Times New Roman"/>
          <w:color w:val="333333"/>
          <w:sz w:val="28"/>
          <w:szCs w:val="28"/>
          <w:lang w:eastAsia="tr-TR"/>
        </w:rPr>
        <w:t xml:space="preserve"> değerlendirildiğinde ise OSB'lerin yüzde 44,2'si Marmara (72) ve Ege (50) bölgelerinde bulunuyor. Bunları, İç Anadolu (48), Karadeniz (41), </w:t>
      </w:r>
      <w:r w:rsidRPr="009122BC">
        <w:rPr>
          <w:rFonts w:ascii="Times New Roman" w:eastAsia="Times New Roman" w:hAnsi="Times New Roman" w:cs="Times New Roman"/>
          <w:color w:val="333333"/>
          <w:sz w:val="28"/>
          <w:szCs w:val="28"/>
          <w:lang w:eastAsia="tr-TR"/>
        </w:rPr>
        <w:lastRenderedPageBreak/>
        <w:t>Doğu Anadolu (22) ve Akdeniz (22) ile Güneydoğu Anadolu (21) bölgeleri takip ediyor.</w:t>
      </w:r>
    </w:p>
    <w:p w:rsidR="009122BC" w:rsidRPr="009122BC" w:rsidRDefault="009122BC" w:rsidP="00485743">
      <w:pPr>
        <w:shd w:val="clear" w:color="auto" w:fill="FAF8F8"/>
        <w:spacing w:after="310" w:line="465" w:lineRule="atLeast"/>
        <w:jc w:val="both"/>
        <w:rPr>
          <w:rFonts w:ascii="Times New Roman" w:eastAsia="Times New Roman" w:hAnsi="Times New Roman" w:cs="Times New Roman"/>
          <w:color w:val="333333"/>
          <w:sz w:val="28"/>
          <w:szCs w:val="28"/>
          <w:lang w:eastAsia="tr-TR"/>
        </w:rPr>
      </w:pPr>
      <w:r w:rsidRPr="009122BC">
        <w:rPr>
          <w:rFonts w:ascii="Times New Roman" w:eastAsia="Times New Roman" w:hAnsi="Times New Roman" w:cs="Times New Roman"/>
          <w:color w:val="333333"/>
          <w:sz w:val="28"/>
          <w:szCs w:val="28"/>
          <w:lang w:eastAsia="tr-TR"/>
        </w:rPr>
        <w:t>Mevcut OSB'ler yurt genelinde yaklaşık 750 kilometrekarelik bir alanı kaplarken, 19'unun da inşaatı sürüyor.</w:t>
      </w:r>
    </w:p>
    <w:p w:rsidR="009122BC" w:rsidRPr="009122BC" w:rsidRDefault="009122BC" w:rsidP="00485743">
      <w:pPr>
        <w:shd w:val="clear" w:color="auto" w:fill="FAF8F8"/>
        <w:spacing w:after="310" w:line="465" w:lineRule="atLeast"/>
        <w:jc w:val="both"/>
        <w:rPr>
          <w:rFonts w:ascii="Times New Roman" w:eastAsia="Times New Roman" w:hAnsi="Times New Roman" w:cs="Times New Roman"/>
          <w:color w:val="333333"/>
          <w:sz w:val="28"/>
          <w:szCs w:val="28"/>
          <w:lang w:eastAsia="tr-TR"/>
        </w:rPr>
      </w:pPr>
      <w:r w:rsidRPr="009122BC">
        <w:rPr>
          <w:rFonts w:ascii="Times New Roman" w:eastAsia="Times New Roman" w:hAnsi="Times New Roman" w:cs="Times New Roman"/>
          <w:color w:val="333333"/>
          <w:sz w:val="28"/>
          <w:szCs w:val="28"/>
          <w:lang w:eastAsia="tr-TR"/>
        </w:rPr>
        <w:t>OSB'lerde faaliyet gösteren 57 bin 263 firmada 1 milyon 431 bin 440 kayıtlı kişi çalışıyor.</w:t>
      </w:r>
    </w:p>
    <w:p w:rsidR="009122BC" w:rsidRPr="009122BC" w:rsidRDefault="009122BC" w:rsidP="00485743">
      <w:pPr>
        <w:shd w:val="clear" w:color="auto" w:fill="FAF8F8"/>
        <w:spacing w:after="310" w:line="465" w:lineRule="atLeast"/>
        <w:jc w:val="both"/>
        <w:rPr>
          <w:rFonts w:ascii="Times New Roman" w:eastAsia="Times New Roman" w:hAnsi="Times New Roman" w:cs="Times New Roman"/>
          <w:color w:val="333333"/>
          <w:sz w:val="28"/>
          <w:szCs w:val="28"/>
          <w:lang w:eastAsia="tr-TR"/>
        </w:rPr>
      </w:pPr>
      <w:r w:rsidRPr="009122BC">
        <w:rPr>
          <w:rFonts w:ascii="Times New Roman" w:eastAsia="Times New Roman" w:hAnsi="Times New Roman" w:cs="Times New Roman"/>
          <w:b/>
          <w:bCs/>
          <w:color w:val="0000FF"/>
          <w:sz w:val="28"/>
          <w:lang w:eastAsia="tr-TR"/>
        </w:rPr>
        <w:t>"Planlı sanayileşme açısından önemli"</w:t>
      </w:r>
    </w:p>
    <w:p w:rsidR="009122BC" w:rsidRPr="009122BC" w:rsidRDefault="009122BC" w:rsidP="00485743">
      <w:pPr>
        <w:shd w:val="clear" w:color="auto" w:fill="FAF8F8"/>
        <w:spacing w:after="310" w:line="465" w:lineRule="atLeast"/>
        <w:jc w:val="both"/>
        <w:rPr>
          <w:rFonts w:ascii="Times New Roman" w:eastAsia="Times New Roman" w:hAnsi="Times New Roman" w:cs="Times New Roman"/>
          <w:color w:val="333333"/>
          <w:sz w:val="28"/>
          <w:szCs w:val="28"/>
          <w:lang w:eastAsia="tr-TR"/>
        </w:rPr>
      </w:pPr>
      <w:r w:rsidRPr="009122BC">
        <w:rPr>
          <w:rFonts w:ascii="Times New Roman" w:eastAsia="Times New Roman" w:hAnsi="Times New Roman" w:cs="Times New Roman"/>
          <w:color w:val="333333"/>
          <w:sz w:val="28"/>
          <w:szCs w:val="28"/>
          <w:lang w:eastAsia="tr-TR"/>
        </w:rPr>
        <w:t>Organize Sanayi Bölgeleri Derneği (OSBDER) Başkanı Hüseyin Kutsi Tuncay, OSB'lerin planlı, çevreye duyarlı sanayileşme ve kayıtlı </w:t>
      </w:r>
      <w:hyperlink r:id="rId6" w:tgtFrame="_blank" w:tooltip="Ekonomi" w:history="1">
        <w:r w:rsidRPr="009122BC">
          <w:rPr>
            <w:rFonts w:ascii="Times New Roman" w:eastAsia="Times New Roman" w:hAnsi="Times New Roman" w:cs="Times New Roman"/>
            <w:color w:val="11648D"/>
            <w:sz w:val="28"/>
            <w:lang w:eastAsia="tr-TR"/>
          </w:rPr>
          <w:t>ekonomi</w:t>
        </w:r>
      </w:hyperlink>
      <w:r w:rsidRPr="009122BC">
        <w:rPr>
          <w:rFonts w:ascii="Times New Roman" w:eastAsia="Times New Roman" w:hAnsi="Times New Roman" w:cs="Times New Roman"/>
          <w:color w:val="333333"/>
          <w:sz w:val="28"/>
          <w:szCs w:val="28"/>
          <w:lang w:eastAsia="tr-TR"/>
        </w:rPr>
        <w:t>nin iyi bir örneği olduğunu söyledi.</w:t>
      </w:r>
    </w:p>
    <w:p w:rsidR="009122BC" w:rsidRPr="009122BC" w:rsidRDefault="009122BC" w:rsidP="00485743">
      <w:pPr>
        <w:shd w:val="clear" w:color="auto" w:fill="FAF8F8"/>
        <w:spacing w:after="310" w:line="465" w:lineRule="atLeast"/>
        <w:jc w:val="both"/>
        <w:rPr>
          <w:rFonts w:ascii="Times New Roman" w:eastAsia="Times New Roman" w:hAnsi="Times New Roman" w:cs="Times New Roman"/>
          <w:color w:val="333333"/>
          <w:sz w:val="28"/>
          <w:szCs w:val="28"/>
          <w:lang w:eastAsia="tr-TR"/>
        </w:rPr>
      </w:pPr>
      <w:r w:rsidRPr="009122BC">
        <w:rPr>
          <w:rFonts w:ascii="Times New Roman" w:eastAsia="Times New Roman" w:hAnsi="Times New Roman" w:cs="Times New Roman"/>
          <w:color w:val="333333"/>
          <w:sz w:val="28"/>
          <w:szCs w:val="28"/>
          <w:lang w:eastAsia="tr-TR"/>
        </w:rPr>
        <w:t>OSB modelinin ülke kaynaklarının israf edilmemesi açısından önemine değinen Tuncay, bu yapılanmalarının kara, deniz, hava ve demiryolu ulaşımının en az üçünün bir arada olduğu yerlerde oluşması gerektiğini dile getirdi.</w:t>
      </w:r>
    </w:p>
    <w:p w:rsidR="009122BC" w:rsidRPr="009122BC" w:rsidRDefault="009122BC" w:rsidP="00485743">
      <w:pPr>
        <w:shd w:val="clear" w:color="auto" w:fill="FAF8F8"/>
        <w:spacing w:after="310" w:line="465" w:lineRule="atLeast"/>
        <w:jc w:val="both"/>
        <w:rPr>
          <w:rFonts w:ascii="Times New Roman" w:eastAsia="Times New Roman" w:hAnsi="Times New Roman" w:cs="Times New Roman"/>
          <w:color w:val="333333"/>
          <w:sz w:val="28"/>
          <w:szCs w:val="28"/>
          <w:lang w:eastAsia="tr-TR"/>
        </w:rPr>
      </w:pPr>
      <w:r w:rsidRPr="009122BC">
        <w:rPr>
          <w:rFonts w:ascii="Times New Roman" w:eastAsia="Times New Roman" w:hAnsi="Times New Roman" w:cs="Times New Roman"/>
          <w:color w:val="333333"/>
          <w:sz w:val="28"/>
          <w:szCs w:val="28"/>
          <w:lang w:eastAsia="tr-TR"/>
        </w:rPr>
        <w:t>Yer seçimi yapılırken ilgili 7 bakanlığa bağlı 22 müdürlük ve genel müdürlüğünün onayının gerektiğini anlatan Tuncay, "Bürokrasi varmış gibi gözükse de bu durum, planlı sanayileşme açısından önemli" dedi.</w:t>
      </w:r>
    </w:p>
    <w:p w:rsidR="009122BC" w:rsidRPr="009122BC" w:rsidRDefault="009122BC" w:rsidP="00485743">
      <w:pPr>
        <w:shd w:val="clear" w:color="auto" w:fill="FAF8F8"/>
        <w:spacing w:after="310" w:line="465" w:lineRule="atLeast"/>
        <w:jc w:val="both"/>
        <w:rPr>
          <w:rFonts w:ascii="Times New Roman" w:eastAsia="Times New Roman" w:hAnsi="Times New Roman" w:cs="Times New Roman"/>
          <w:color w:val="333333"/>
          <w:sz w:val="28"/>
          <w:szCs w:val="28"/>
          <w:lang w:eastAsia="tr-TR"/>
        </w:rPr>
      </w:pPr>
      <w:r w:rsidRPr="009122BC">
        <w:rPr>
          <w:rFonts w:ascii="Times New Roman" w:eastAsia="Times New Roman" w:hAnsi="Times New Roman" w:cs="Times New Roman"/>
          <w:color w:val="333333"/>
          <w:sz w:val="28"/>
          <w:szCs w:val="28"/>
          <w:lang w:eastAsia="tr-TR"/>
        </w:rPr>
        <w:t>Planlı ve çevreye duyarlı yatırımların üretim maliyetlerini artırmasına karşın bunları savunduklarını belirten Tuncay, "Bırakın etkilesin. Yeter ki bu ülkenin kaynaklarını heba etmeyelim" diye konuştu.</w:t>
      </w:r>
    </w:p>
    <w:p w:rsidR="009122BC" w:rsidRPr="009122BC" w:rsidRDefault="009122BC" w:rsidP="00485743">
      <w:pPr>
        <w:shd w:val="clear" w:color="auto" w:fill="FAF8F8"/>
        <w:spacing w:after="310" w:line="465" w:lineRule="atLeast"/>
        <w:jc w:val="both"/>
        <w:rPr>
          <w:rFonts w:ascii="Times New Roman" w:eastAsia="Times New Roman" w:hAnsi="Times New Roman" w:cs="Times New Roman"/>
          <w:color w:val="333333"/>
          <w:sz w:val="28"/>
          <w:szCs w:val="28"/>
          <w:lang w:eastAsia="tr-TR"/>
        </w:rPr>
      </w:pPr>
      <w:r w:rsidRPr="009122BC">
        <w:rPr>
          <w:rFonts w:ascii="Times New Roman" w:eastAsia="Times New Roman" w:hAnsi="Times New Roman" w:cs="Times New Roman"/>
          <w:b/>
          <w:bCs/>
          <w:color w:val="0000FF"/>
          <w:sz w:val="28"/>
          <w:lang w:eastAsia="tr-TR"/>
        </w:rPr>
        <w:t>"OSB'ler teşvik edilmeli"</w:t>
      </w:r>
    </w:p>
    <w:p w:rsidR="009122BC" w:rsidRPr="009122BC" w:rsidRDefault="009122BC" w:rsidP="00485743">
      <w:pPr>
        <w:shd w:val="clear" w:color="auto" w:fill="FAF8F8"/>
        <w:spacing w:after="310" w:line="465" w:lineRule="atLeast"/>
        <w:jc w:val="both"/>
        <w:rPr>
          <w:rFonts w:ascii="Times New Roman" w:eastAsia="Times New Roman" w:hAnsi="Times New Roman" w:cs="Times New Roman"/>
          <w:color w:val="333333"/>
          <w:sz w:val="28"/>
          <w:szCs w:val="28"/>
          <w:lang w:eastAsia="tr-TR"/>
        </w:rPr>
      </w:pPr>
      <w:r w:rsidRPr="009122BC">
        <w:rPr>
          <w:rFonts w:ascii="Times New Roman" w:eastAsia="Times New Roman" w:hAnsi="Times New Roman" w:cs="Times New Roman"/>
          <w:color w:val="333333"/>
          <w:sz w:val="28"/>
          <w:szCs w:val="28"/>
          <w:lang w:eastAsia="tr-TR"/>
        </w:rPr>
        <w:t>Çarpık sanayileşmenin önlenmesi açısından da OSB'lerin etkili olduğunu kaydeden Tuncay, bu model kapsamındaki yatırımların teşvik edilmesi gerektiğini söyledi.</w:t>
      </w:r>
    </w:p>
    <w:p w:rsidR="009122BC" w:rsidRPr="009122BC" w:rsidRDefault="009122BC" w:rsidP="00485743">
      <w:pPr>
        <w:shd w:val="clear" w:color="auto" w:fill="FAF8F8"/>
        <w:spacing w:after="310" w:line="465" w:lineRule="atLeast"/>
        <w:jc w:val="both"/>
        <w:rPr>
          <w:rFonts w:ascii="Times New Roman" w:eastAsia="Times New Roman" w:hAnsi="Times New Roman" w:cs="Times New Roman"/>
          <w:color w:val="333333"/>
          <w:sz w:val="28"/>
          <w:szCs w:val="28"/>
          <w:lang w:eastAsia="tr-TR"/>
        </w:rPr>
      </w:pPr>
      <w:r w:rsidRPr="009122BC">
        <w:rPr>
          <w:rFonts w:ascii="Times New Roman" w:eastAsia="Times New Roman" w:hAnsi="Times New Roman" w:cs="Times New Roman"/>
          <w:color w:val="333333"/>
          <w:sz w:val="28"/>
          <w:szCs w:val="28"/>
          <w:lang w:eastAsia="tr-TR"/>
        </w:rPr>
        <w:lastRenderedPageBreak/>
        <w:t>Gelişmiş ülkelerde sanayi bölgelerinin yerlerinin devlet tarafından belirlenerek, altyapı ve genel hizmetlerinin yine devlet tarafından karşılandığına işaret eden Tuncay, kendilerinin ise bu tip desteklerden yoksun olduklarını belirtti.</w:t>
      </w:r>
    </w:p>
    <w:p w:rsidR="009122BC" w:rsidRPr="009122BC" w:rsidRDefault="009122BC" w:rsidP="00485743">
      <w:pPr>
        <w:shd w:val="clear" w:color="auto" w:fill="FAF8F8"/>
        <w:spacing w:after="310" w:line="465" w:lineRule="atLeast"/>
        <w:jc w:val="both"/>
        <w:rPr>
          <w:rFonts w:ascii="Times New Roman" w:eastAsia="Times New Roman" w:hAnsi="Times New Roman" w:cs="Times New Roman"/>
          <w:color w:val="333333"/>
          <w:sz w:val="28"/>
          <w:szCs w:val="28"/>
          <w:lang w:eastAsia="tr-TR"/>
        </w:rPr>
      </w:pPr>
      <w:r w:rsidRPr="009122BC">
        <w:rPr>
          <w:rFonts w:ascii="Times New Roman" w:eastAsia="Times New Roman" w:hAnsi="Times New Roman" w:cs="Times New Roman"/>
          <w:color w:val="333333"/>
          <w:sz w:val="28"/>
          <w:szCs w:val="28"/>
          <w:lang w:eastAsia="tr-TR"/>
        </w:rPr>
        <w:t>OSB'lerin bir dönem devlet desteklerinden yararlandığını ifade eden Tuncay, bu desteklerin süreç içerisinde kalktığına dikkati çekti.</w:t>
      </w:r>
    </w:p>
    <w:p w:rsidR="009122BC" w:rsidRPr="009122BC" w:rsidRDefault="009122BC" w:rsidP="00485743">
      <w:pPr>
        <w:shd w:val="clear" w:color="auto" w:fill="FAF8F8"/>
        <w:spacing w:after="310" w:line="465" w:lineRule="atLeast"/>
        <w:jc w:val="both"/>
        <w:rPr>
          <w:rFonts w:ascii="Times New Roman" w:eastAsia="Times New Roman" w:hAnsi="Times New Roman" w:cs="Times New Roman"/>
          <w:color w:val="333333"/>
          <w:sz w:val="28"/>
          <w:szCs w:val="28"/>
          <w:lang w:eastAsia="tr-TR"/>
        </w:rPr>
      </w:pPr>
      <w:r w:rsidRPr="009122BC">
        <w:rPr>
          <w:rFonts w:ascii="Times New Roman" w:eastAsia="Times New Roman" w:hAnsi="Times New Roman" w:cs="Times New Roman"/>
          <w:b/>
          <w:bCs/>
          <w:color w:val="0000FF"/>
          <w:sz w:val="28"/>
          <w:lang w:eastAsia="tr-TR"/>
        </w:rPr>
        <w:t>"2 milyon kişiye istihdam"</w:t>
      </w:r>
    </w:p>
    <w:p w:rsidR="009122BC" w:rsidRPr="009122BC" w:rsidRDefault="009122BC" w:rsidP="00485743">
      <w:pPr>
        <w:shd w:val="clear" w:color="auto" w:fill="FAF8F8"/>
        <w:spacing w:after="310" w:line="465" w:lineRule="atLeast"/>
        <w:jc w:val="both"/>
        <w:rPr>
          <w:rFonts w:ascii="Times New Roman" w:eastAsia="Times New Roman" w:hAnsi="Times New Roman" w:cs="Times New Roman"/>
          <w:color w:val="333333"/>
          <w:sz w:val="28"/>
          <w:szCs w:val="28"/>
          <w:lang w:eastAsia="tr-TR"/>
        </w:rPr>
      </w:pPr>
      <w:r w:rsidRPr="009122BC">
        <w:rPr>
          <w:rFonts w:ascii="Times New Roman" w:eastAsia="Times New Roman" w:hAnsi="Times New Roman" w:cs="Times New Roman"/>
          <w:color w:val="333333"/>
          <w:sz w:val="28"/>
          <w:szCs w:val="28"/>
          <w:lang w:eastAsia="tr-TR"/>
        </w:rPr>
        <w:t>Tuncay, 276 OSB'nin Türkiye için yeterli olup olmadığını değerlendirirken, bunların yüzde 47'sinin boş olduğunu, yüzde 54'ünde de bir veya birden fazla yatırımcı bulunduğunu kaydetti.</w:t>
      </w:r>
    </w:p>
    <w:p w:rsidR="009122BC" w:rsidRPr="009122BC" w:rsidRDefault="009122BC" w:rsidP="00485743">
      <w:pPr>
        <w:shd w:val="clear" w:color="auto" w:fill="FAF8F8"/>
        <w:spacing w:after="310" w:line="465" w:lineRule="atLeast"/>
        <w:jc w:val="both"/>
        <w:rPr>
          <w:rFonts w:ascii="Times New Roman" w:eastAsia="Times New Roman" w:hAnsi="Times New Roman" w:cs="Times New Roman"/>
          <w:color w:val="333333"/>
          <w:sz w:val="28"/>
          <w:szCs w:val="28"/>
          <w:lang w:eastAsia="tr-TR"/>
        </w:rPr>
      </w:pPr>
      <w:r w:rsidRPr="009122BC">
        <w:rPr>
          <w:rFonts w:ascii="Times New Roman" w:eastAsia="Times New Roman" w:hAnsi="Times New Roman" w:cs="Times New Roman"/>
          <w:color w:val="333333"/>
          <w:sz w:val="28"/>
          <w:szCs w:val="28"/>
          <w:lang w:eastAsia="tr-TR"/>
        </w:rPr>
        <w:t>Tamamı üretime geçtiğinde OSB'lerin yaklaşık 2 milyon kişilik istihdam sağlama kapasitesine sahip olduğunu anlatan Tuncay, "Yeterli veya yetersizden çok Türkiye'de gecekondu sanayileşmenin fazlalığını görmek gerekiyor. Sonuçta OSB yapılanması doğru bir yapılanma. Gecekondu sanayileşme önlenip, OSB'lere taşınma maliyetleri desteklenirse mevcutları yetmeyecektir. Rakamlara ve OSB'lerin genel durumuna bakıldığında arz-talep dengesi bozuk" ifadesini kullandı.</w:t>
      </w:r>
    </w:p>
    <w:p w:rsidR="009122BC" w:rsidRPr="009122BC" w:rsidRDefault="009122BC" w:rsidP="00485743">
      <w:pPr>
        <w:shd w:val="clear" w:color="auto" w:fill="FAF8F8"/>
        <w:spacing w:after="310" w:line="465" w:lineRule="atLeast"/>
        <w:jc w:val="both"/>
        <w:rPr>
          <w:rFonts w:ascii="Times New Roman" w:eastAsia="Times New Roman" w:hAnsi="Times New Roman" w:cs="Times New Roman"/>
          <w:color w:val="333333"/>
          <w:sz w:val="28"/>
          <w:szCs w:val="28"/>
          <w:lang w:eastAsia="tr-TR"/>
        </w:rPr>
      </w:pPr>
      <w:r w:rsidRPr="009122BC">
        <w:rPr>
          <w:rFonts w:ascii="Times New Roman" w:eastAsia="Times New Roman" w:hAnsi="Times New Roman" w:cs="Times New Roman"/>
          <w:color w:val="333333"/>
          <w:sz w:val="28"/>
          <w:szCs w:val="28"/>
          <w:lang w:eastAsia="tr-TR"/>
        </w:rPr>
        <w:t>OSB'lerin il bazında dağılımı şöyle:</w:t>
      </w:r>
    </w:p>
    <w:p w:rsidR="00D742D0" w:rsidRDefault="00D742D0" w:rsidP="00485743">
      <w:pPr>
        <w:pStyle w:val="NormalWeb"/>
        <w:shd w:val="clear" w:color="auto" w:fill="FFFFFF"/>
        <w:spacing w:before="0" w:beforeAutospacing="0" w:after="403" w:afterAutospacing="0"/>
        <w:jc w:val="both"/>
        <w:rPr>
          <w:rFonts w:ascii="Verdana" w:hAnsi="Verdana"/>
          <w:color w:val="222222"/>
          <w:sz w:val="23"/>
          <w:szCs w:val="23"/>
        </w:rPr>
      </w:pPr>
      <w:r>
        <w:rPr>
          <w:rFonts w:ascii="Verdana" w:hAnsi="Verdana"/>
          <w:color w:val="222222"/>
          <w:sz w:val="23"/>
          <w:szCs w:val="23"/>
        </w:rPr>
        <w:t>Organize Sanayi Bölgeleri (OSB) ülke ekonomilerinin uluslararası rekabet edebilir bir yapıya kavuşturulması, teknoloji transferinin sağlanması, üretim ve istihdamın arttırılması, yabancı sermaye girişinin hızlandırılması ve büyük ölçekli yatırımlar için uygun sanayi alanları oluşturulması için oluşturulur. İlk OSB uygulamaları 19. yüzyılın sonlarında İngiltere’de, daha sonra ise Amerika Birleşik Devletleri’nde görülmüştür. Sanayi için altyapılı arsaların oluşturulduğu OSB uygulamasına Türkiye’de ilk olarak Bursa’da başlanmıştır. 1962-2002 yılları arasında hizmete giren OSB sayısı 70 olurken, 2021 yılında faal durumda olan OSB sayısı 257 olmuştur.</w:t>
      </w:r>
    </w:p>
    <w:p w:rsidR="00D742D0" w:rsidRDefault="00D742D0" w:rsidP="00485743">
      <w:pPr>
        <w:pStyle w:val="NormalWeb"/>
        <w:shd w:val="clear" w:color="auto" w:fill="FFFFFF"/>
        <w:spacing w:before="0" w:beforeAutospacing="0" w:after="403" w:afterAutospacing="0"/>
        <w:jc w:val="both"/>
        <w:rPr>
          <w:rFonts w:ascii="Verdana" w:hAnsi="Verdana"/>
          <w:color w:val="222222"/>
          <w:sz w:val="23"/>
          <w:szCs w:val="23"/>
        </w:rPr>
      </w:pPr>
      <w:r>
        <w:rPr>
          <w:rFonts w:ascii="Verdana" w:hAnsi="Verdana"/>
          <w:color w:val="222222"/>
          <w:sz w:val="23"/>
          <w:szCs w:val="23"/>
        </w:rPr>
        <w:t xml:space="preserve">2021 yılı itibarıyla Türkiye’de yapımı planlamış olan 28 OSB, kamulaştırılması yapılan 27 OSB ve altyapısı yapılan 41 OSB mevcuttur. 2021 yılında faal durumda olan 257 OSB’nin 249’U Sanayi ve Teknoloji Bakanlığı Onaylı OSB </w:t>
      </w:r>
      <w:r>
        <w:rPr>
          <w:rFonts w:ascii="Verdana" w:hAnsi="Verdana"/>
          <w:color w:val="222222"/>
          <w:sz w:val="23"/>
          <w:szCs w:val="23"/>
        </w:rPr>
        <w:lastRenderedPageBreak/>
        <w:t xml:space="preserve">iken 8’i Tarım ve Orman Bakanlığı Onaylı </w:t>
      </w:r>
      <w:proofErr w:type="spellStart"/>
      <w:r>
        <w:rPr>
          <w:rFonts w:ascii="Verdana" w:hAnsi="Verdana"/>
          <w:color w:val="222222"/>
          <w:sz w:val="23"/>
          <w:szCs w:val="23"/>
        </w:rPr>
        <w:t>TDİOSB’dir</w:t>
      </w:r>
      <w:proofErr w:type="spellEnd"/>
      <w:r>
        <w:rPr>
          <w:rFonts w:ascii="Verdana" w:hAnsi="Verdana"/>
          <w:color w:val="222222"/>
          <w:sz w:val="23"/>
          <w:szCs w:val="23"/>
        </w:rPr>
        <w:t xml:space="preserve">. Aşağıdaki tablo </w:t>
      </w:r>
      <w:proofErr w:type="spellStart"/>
      <w:r>
        <w:rPr>
          <w:rFonts w:ascii="Verdana" w:hAnsi="Verdana"/>
          <w:color w:val="222222"/>
          <w:sz w:val="23"/>
          <w:szCs w:val="23"/>
        </w:rPr>
        <w:t>OSB’in</w:t>
      </w:r>
      <w:proofErr w:type="spellEnd"/>
      <w:r>
        <w:rPr>
          <w:rFonts w:ascii="Verdana" w:hAnsi="Verdana"/>
          <w:color w:val="222222"/>
          <w:sz w:val="23"/>
          <w:szCs w:val="23"/>
        </w:rPr>
        <w:t xml:space="preserve"> fiili durumlarına ve türlerine göre dağılımlarını göstermektedir.</w:t>
      </w:r>
    </w:p>
    <w:tbl>
      <w:tblPr>
        <w:tblW w:w="5000" w:type="pct"/>
        <w:tblCellMar>
          <w:top w:w="15" w:type="dxa"/>
          <w:left w:w="15" w:type="dxa"/>
          <w:bottom w:w="15" w:type="dxa"/>
          <w:right w:w="15" w:type="dxa"/>
        </w:tblCellMar>
        <w:tblLook w:val="04A0"/>
      </w:tblPr>
      <w:tblGrid>
        <w:gridCol w:w="1487"/>
        <w:gridCol w:w="1565"/>
        <w:gridCol w:w="2176"/>
        <w:gridCol w:w="1278"/>
        <w:gridCol w:w="1320"/>
        <w:gridCol w:w="1486"/>
      </w:tblGrid>
      <w:tr w:rsidR="00D742D0" w:rsidTr="00D742D0">
        <w:tc>
          <w:tcPr>
            <w:tcW w:w="798" w:type="pct"/>
            <w:shd w:val="clear" w:color="auto" w:fill="F0F0F0"/>
            <w:tcMar>
              <w:top w:w="120" w:type="dxa"/>
              <w:left w:w="120" w:type="dxa"/>
              <w:bottom w:w="120" w:type="dxa"/>
              <w:right w:w="120" w:type="dxa"/>
            </w:tcMar>
            <w:vAlign w:val="center"/>
            <w:hideMark/>
          </w:tcPr>
          <w:p w:rsidR="00D742D0" w:rsidRDefault="00D742D0" w:rsidP="00485743">
            <w:pPr>
              <w:spacing w:after="325"/>
              <w:jc w:val="both"/>
              <w:rPr>
                <w:sz w:val="24"/>
                <w:szCs w:val="24"/>
              </w:rPr>
            </w:pPr>
            <w:r>
              <w:rPr>
                <w:rStyle w:val="Gl"/>
              </w:rPr>
              <w:t>TÜR</w:t>
            </w:r>
          </w:p>
        </w:tc>
        <w:tc>
          <w:tcPr>
            <w:tcW w:w="840" w:type="pct"/>
            <w:shd w:val="clear" w:color="auto" w:fill="F0F0F0"/>
            <w:tcMar>
              <w:top w:w="120" w:type="dxa"/>
              <w:left w:w="120" w:type="dxa"/>
              <w:bottom w:w="120" w:type="dxa"/>
              <w:right w:w="120" w:type="dxa"/>
            </w:tcMar>
            <w:vAlign w:val="center"/>
            <w:hideMark/>
          </w:tcPr>
          <w:p w:rsidR="00D742D0" w:rsidRDefault="00D742D0" w:rsidP="00485743">
            <w:pPr>
              <w:spacing w:after="325"/>
              <w:jc w:val="both"/>
              <w:rPr>
                <w:sz w:val="24"/>
                <w:szCs w:val="24"/>
              </w:rPr>
            </w:pPr>
            <w:r>
              <w:rPr>
                <w:rStyle w:val="Gl"/>
              </w:rPr>
              <w:t>Planlama</w:t>
            </w:r>
          </w:p>
        </w:tc>
        <w:tc>
          <w:tcPr>
            <w:tcW w:w="1168" w:type="pct"/>
            <w:shd w:val="clear" w:color="auto" w:fill="F0F0F0"/>
            <w:tcMar>
              <w:top w:w="120" w:type="dxa"/>
              <w:left w:w="120" w:type="dxa"/>
              <w:bottom w:w="120" w:type="dxa"/>
              <w:right w:w="120" w:type="dxa"/>
            </w:tcMar>
            <w:vAlign w:val="center"/>
            <w:hideMark/>
          </w:tcPr>
          <w:p w:rsidR="00D742D0" w:rsidRDefault="00D742D0" w:rsidP="00485743">
            <w:pPr>
              <w:spacing w:after="325"/>
              <w:jc w:val="both"/>
              <w:rPr>
                <w:sz w:val="24"/>
                <w:szCs w:val="24"/>
              </w:rPr>
            </w:pPr>
            <w:r>
              <w:rPr>
                <w:rStyle w:val="Gl"/>
              </w:rPr>
              <w:t>Kamulaştırma</w:t>
            </w:r>
          </w:p>
        </w:tc>
        <w:tc>
          <w:tcPr>
            <w:tcW w:w="686" w:type="pct"/>
            <w:shd w:val="clear" w:color="auto" w:fill="F0F0F0"/>
            <w:tcMar>
              <w:top w:w="120" w:type="dxa"/>
              <w:left w:w="120" w:type="dxa"/>
              <w:bottom w:w="120" w:type="dxa"/>
              <w:right w:w="120" w:type="dxa"/>
            </w:tcMar>
            <w:vAlign w:val="center"/>
            <w:hideMark/>
          </w:tcPr>
          <w:p w:rsidR="00D742D0" w:rsidRDefault="00D742D0" w:rsidP="00485743">
            <w:pPr>
              <w:spacing w:after="325"/>
              <w:jc w:val="both"/>
              <w:rPr>
                <w:sz w:val="24"/>
                <w:szCs w:val="24"/>
              </w:rPr>
            </w:pPr>
            <w:r>
              <w:rPr>
                <w:rStyle w:val="Gl"/>
              </w:rPr>
              <w:t>Altyapı</w:t>
            </w:r>
          </w:p>
        </w:tc>
        <w:tc>
          <w:tcPr>
            <w:tcW w:w="709" w:type="pct"/>
            <w:shd w:val="clear" w:color="auto" w:fill="F0F0F0"/>
            <w:tcMar>
              <w:top w:w="120" w:type="dxa"/>
              <w:left w:w="120" w:type="dxa"/>
              <w:bottom w:w="120" w:type="dxa"/>
              <w:right w:w="120" w:type="dxa"/>
            </w:tcMar>
            <w:vAlign w:val="center"/>
            <w:hideMark/>
          </w:tcPr>
          <w:p w:rsidR="00D742D0" w:rsidRDefault="00D742D0" w:rsidP="00485743">
            <w:pPr>
              <w:spacing w:after="325"/>
              <w:jc w:val="both"/>
              <w:rPr>
                <w:sz w:val="24"/>
                <w:szCs w:val="24"/>
              </w:rPr>
            </w:pPr>
            <w:r>
              <w:rPr>
                <w:rStyle w:val="Gl"/>
              </w:rPr>
              <w:t>İşletme</w:t>
            </w:r>
          </w:p>
        </w:tc>
        <w:tc>
          <w:tcPr>
            <w:tcW w:w="798" w:type="pct"/>
            <w:shd w:val="clear" w:color="auto" w:fill="F0F0F0"/>
            <w:tcMar>
              <w:top w:w="120" w:type="dxa"/>
              <w:left w:w="120" w:type="dxa"/>
              <w:bottom w:w="120" w:type="dxa"/>
              <w:right w:w="120" w:type="dxa"/>
            </w:tcMar>
            <w:vAlign w:val="center"/>
            <w:hideMark/>
          </w:tcPr>
          <w:p w:rsidR="00D742D0" w:rsidRDefault="00D742D0" w:rsidP="00485743">
            <w:pPr>
              <w:spacing w:after="325"/>
              <w:jc w:val="both"/>
              <w:rPr>
                <w:sz w:val="24"/>
                <w:szCs w:val="24"/>
              </w:rPr>
            </w:pPr>
            <w:r>
              <w:rPr>
                <w:rStyle w:val="Gl"/>
              </w:rPr>
              <w:t>TOPLAM</w:t>
            </w:r>
          </w:p>
        </w:tc>
      </w:tr>
      <w:tr w:rsidR="00D742D0" w:rsidTr="00D742D0">
        <w:tc>
          <w:tcPr>
            <w:tcW w:w="798" w:type="pct"/>
            <w:tcMar>
              <w:top w:w="120" w:type="dxa"/>
              <w:left w:w="120" w:type="dxa"/>
              <w:bottom w:w="120" w:type="dxa"/>
              <w:right w:w="120" w:type="dxa"/>
            </w:tcMar>
            <w:vAlign w:val="center"/>
            <w:hideMark/>
          </w:tcPr>
          <w:p w:rsidR="00D742D0" w:rsidRDefault="00D742D0" w:rsidP="00485743">
            <w:pPr>
              <w:spacing w:after="325"/>
              <w:jc w:val="both"/>
              <w:rPr>
                <w:sz w:val="24"/>
                <w:szCs w:val="24"/>
              </w:rPr>
            </w:pPr>
            <w:r>
              <w:t>OSB</w:t>
            </w:r>
          </w:p>
        </w:tc>
        <w:tc>
          <w:tcPr>
            <w:tcW w:w="840" w:type="pct"/>
            <w:tcMar>
              <w:top w:w="120" w:type="dxa"/>
              <w:left w:w="120" w:type="dxa"/>
              <w:bottom w:w="120" w:type="dxa"/>
              <w:right w:w="120" w:type="dxa"/>
            </w:tcMar>
            <w:vAlign w:val="center"/>
            <w:hideMark/>
          </w:tcPr>
          <w:p w:rsidR="00D742D0" w:rsidRDefault="00D742D0" w:rsidP="00485743">
            <w:pPr>
              <w:spacing w:after="325"/>
              <w:jc w:val="both"/>
              <w:rPr>
                <w:sz w:val="24"/>
                <w:szCs w:val="24"/>
              </w:rPr>
            </w:pPr>
            <w:r>
              <w:t>16</w:t>
            </w:r>
          </w:p>
        </w:tc>
        <w:tc>
          <w:tcPr>
            <w:tcW w:w="1168" w:type="pct"/>
            <w:tcMar>
              <w:top w:w="120" w:type="dxa"/>
              <w:left w:w="120" w:type="dxa"/>
              <w:bottom w:w="120" w:type="dxa"/>
              <w:right w:w="120" w:type="dxa"/>
            </w:tcMar>
            <w:vAlign w:val="center"/>
            <w:hideMark/>
          </w:tcPr>
          <w:p w:rsidR="00D742D0" w:rsidRDefault="00D742D0" w:rsidP="00485743">
            <w:pPr>
              <w:spacing w:after="325"/>
              <w:jc w:val="both"/>
              <w:rPr>
                <w:sz w:val="24"/>
                <w:szCs w:val="24"/>
              </w:rPr>
            </w:pPr>
            <w:r>
              <w:t>22</w:t>
            </w:r>
          </w:p>
        </w:tc>
        <w:tc>
          <w:tcPr>
            <w:tcW w:w="686" w:type="pct"/>
            <w:tcMar>
              <w:top w:w="120" w:type="dxa"/>
              <w:left w:w="120" w:type="dxa"/>
              <w:bottom w:w="120" w:type="dxa"/>
              <w:right w:w="120" w:type="dxa"/>
            </w:tcMar>
            <w:vAlign w:val="center"/>
            <w:hideMark/>
          </w:tcPr>
          <w:p w:rsidR="00D742D0" w:rsidRDefault="00D742D0" w:rsidP="00485743">
            <w:pPr>
              <w:spacing w:after="325"/>
              <w:jc w:val="both"/>
              <w:rPr>
                <w:sz w:val="24"/>
                <w:szCs w:val="24"/>
              </w:rPr>
            </w:pPr>
            <w:r>
              <w:t>39</w:t>
            </w:r>
          </w:p>
        </w:tc>
        <w:tc>
          <w:tcPr>
            <w:tcW w:w="709" w:type="pct"/>
            <w:tcMar>
              <w:top w:w="120" w:type="dxa"/>
              <w:left w:w="120" w:type="dxa"/>
              <w:bottom w:w="120" w:type="dxa"/>
              <w:right w:w="120" w:type="dxa"/>
            </w:tcMar>
            <w:vAlign w:val="center"/>
            <w:hideMark/>
          </w:tcPr>
          <w:p w:rsidR="00D742D0" w:rsidRDefault="00D742D0" w:rsidP="00485743">
            <w:pPr>
              <w:spacing w:after="325"/>
              <w:jc w:val="both"/>
              <w:rPr>
                <w:sz w:val="24"/>
                <w:szCs w:val="24"/>
              </w:rPr>
            </w:pPr>
            <w:r>
              <w:t>249</w:t>
            </w:r>
          </w:p>
        </w:tc>
        <w:tc>
          <w:tcPr>
            <w:tcW w:w="798" w:type="pct"/>
            <w:tcMar>
              <w:top w:w="120" w:type="dxa"/>
              <w:left w:w="120" w:type="dxa"/>
              <w:bottom w:w="120" w:type="dxa"/>
              <w:right w:w="120" w:type="dxa"/>
            </w:tcMar>
            <w:vAlign w:val="center"/>
            <w:hideMark/>
          </w:tcPr>
          <w:p w:rsidR="00D742D0" w:rsidRDefault="00D742D0" w:rsidP="00485743">
            <w:pPr>
              <w:spacing w:after="325"/>
              <w:jc w:val="both"/>
              <w:rPr>
                <w:sz w:val="24"/>
                <w:szCs w:val="24"/>
              </w:rPr>
            </w:pPr>
            <w:r>
              <w:t>326</w:t>
            </w:r>
          </w:p>
        </w:tc>
      </w:tr>
      <w:tr w:rsidR="00D742D0" w:rsidTr="00D742D0">
        <w:tc>
          <w:tcPr>
            <w:tcW w:w="798" w:type="pct"/>
            <w:shd w:val="clear" w:color="auto" w:fill="F0F0F0"/>
            <w:tcMar>
              <w:top w:w="120" w:type="dxa"/>
              <w:left w:w="120" w:type="dxa"/>
              <w:bottom w:w="120" w:type="dxa"/>
              <w:right w:w="120" w:type="dxa"/>
            </w:tcMar>
            <w:vAlign w:val="center"/>
            <w:hideMark/>
          </w:tcPr>
          <w:p w:rsidR="00D742D0" w:rsidRDefault="00D742D0" w:rsidP="00485743">
            <w:pPr>
              <w:spacing w:after="325"/>
              <w:jc w:val="both"/>
              <w:rPr>
                <w:sz w:val="24"/>
                <w:szCs w:val="24"/>
              </w:rPr>
            </w:pPr>
            <w:r>
              <w:t>TDİOSB</w:t>
            </w:r>
          </w:p>
        </w:tc>
        <w:tc>
          <w:tcPr>
            <w:tcW w:w="840" w:type="pct"/>
            <w:shd w:val="clear" w:color="auto" w:fill="F0F0F0"/>
            <w:tcMar>
              <w:top w:w="120" w:type="dxa"/>
              <w:left w:w="120" w:type="dxa"/>
              <w:bottom w:w="120" w:type="dxa"/>
              <w:right w:w="120" w:type="dxa"/>
            </w:tcMar>
            <w:vAlign w:val="center"/>
            <w:hideMark/>
          </w:tcPr>
          <w:p w:rsidR="00D742D0" w:rsidRDefault="00D742D0" w:rsidP="00485743">
            <w:pPr>
              <w:spacing w:after="325"/>
              <w:jc w:val="both"/>
              <w:rPr>
                <w:sz w:val="24"/>
                <w:szCs w:val="24"/>
              </w:rPr>
            </w:pPr>
            <w:r>
              <w:t>12</w:t>
            </w:r>
          </w:p>
        </w:tc>
        <w:tc>
          <w:tcPr>
            <w:tcW w:w="1168" w:type="pct"/>
            <w:shd w:val="clear" w:color="auto" w:fill="F0F0F0"/>
            <w:tcMar>
              <w:top w:w="120" w:type="dxa"/>
              <w:left w:w="120" w:type="dxa"/>
              <w:bottom w:w="120" w:type="dxa"/>
              <w:right w:w="120" w:type="dxa"/>
            </w:tcMar>
            <w:vAlign w:val="center"/>
            <w:hideMark/>
          </w:tcPr>
          <w:p w:rsidR="00D742D0" w:rsidRDefault="00D742D0" w:rsidP="00485743">
            <w:pPr>
              <w:spacing w:after="325"/>
              <w:jc w:val="both"/>
              <w:rPr>
                <w:sz w:val="24"/>
                <w:szCs w:val="24"/>
              </w:rPr>
            </w:pPr>
            <w:r>
              <w:t>5</w:t>
            </w:r>
          </w:p>
        </w:tc>
        <w:tc>
          <w:tcPr>
            <w:tcW w:w="686" w:type="pct"/>
            <w:shd w:val="clear" w:color="auto" w:fill="F0F0F0"/>
            <w:tcMar>
              <w:top w:w="120" w:type="dxa"/>
              <w:left w:w="120" w:type="dxa"/>
              <w:bottom w:w="120" w:type="dxa"/>
              <w:right w:w="120" w:type="dxa"/>
            </w:tcMar>
            <w:vAlign w:val="center"/>
            <w:hideMark/>
          </w:tcPr>
          <w:p w:rsidR="00D742D0" w:rsidRDefault="00D742D0" w:rsidP="00485743">
            <w:pPr>
              <w:spacing w:after="325"/>
              <w:jc w:val="both"/>
              <w:rPr>
                <w:sz w:val="24"/>
                <w:szCs w:val="24"/>
              </w:rPr>
            </w:pPr>
            <w:r>
              <w:t>2</w:t>
            </w:r>
          </w:p>
        </w:tc>
        <w:tc>
          <w:tcPr>
            <w:tcW w:w="709" w:type="pct"/>
            <w:shd w:val="clear" w:color="auto" w:fill="F0F0F0"/>
            <w:tcMar>
              <w:top w:w="120" w:type="dxa"/>
              <w:left w:w="120" w:type="dxa"/>
              <w:bottom w:w="120" w:type="dxa"/>
              <w:right w:w="120" w:type="dxa"/>
            </w:tcMar>
            <w:vAlign w:val="center"/>
            <w:hideMark/>
          </w:tcPr>
          <w:p w:rsidR="00D742D0" w:rsidRDefault="00D742D0" w:rsidP="00485743">
            <w:pPr>
              <w:spacing w:after="325"/>
              <w:jc w:val="both"/>
              <w:rPr>
                <w:sz w:val="24"/>
                <w:szCs w:val="24"/>
              </w:rPr>
            </w:pPr>
            <w:r>
              <w:t>8</w:t>
            </w:r>
          </w:p>
        </w:tc>
        <w:tc>
          <w:tcPr>
            <w:tcW w:w="798" w:type="pct"/>
            <w:shd w:val="clear" w:color="auto" w:fill="F0F0F0"/>
            <w:tcMar>
              <w:top w:w="120" w:type="dxa"/>
              <w:left w:w="120" w:type="dxa"/>
              <w:bottom w:w="120" w:type="dxa"/>
              <w:right w:w="120" w:type="dxa"/>
            </w:tcMar>
            <w:vAlign w:val="center"/>
            <w:hideMark/>
          </w:tcPr>
          <w:p w:rsidR="00D742D0" w:rsidRDefault="00D742D0" w:rsidP="00485743">
            <w:pPr>
              <w:spacing w:after="325"/>
              <w:jc w:val="both"/>
              <w:rPr>
                <w:sz w:val="24"/>
                <w:szCs w:val="24"/>
              </w:rPr>
            </w:pPr>
            <w:r>
              <w:t>27</w:t>
            </w:r>
          </w:p>
        </w:tc>
      </w:tr>
      <w:tr w:rsidR="00D742D0" w:rsidTr="00D742D0">
        <w:tc>
          <w:tcPr>
            <w:tcW w:w="798" w:type="pct"/>
            <w:tcMar>
              <w:top w:w="120" w:type="dxa"/>
              <w:left w:w="120" w:type="dxa"/>
              <w:bottom w:w="120" w:type="dxa"/>
              <w:right w:w="120" w:type="dxa"/>
            </w:tcMar>
            <w:vAlign w:val="center"/>
            <w:hideMark/>
          </w:tcPr>
          <w:p w:rsidR="00D742D0" w:rsidRDefault="00D742D0" w:rsidP="00485743">
            <w:pPr>
              <w:spacing w:after="325"/>
              <w:jc w:val="both"/>
              <w:rPr>
                <w:sz w:val="24"/>
                <w:szCs w:val="24"/>
              </w:rPr>
            </w:pPr>
            <w:r>
              <w:rPr>
                <w:rStyle w:val="Gl"/>
              </w:rPr>
              <w:t>TOPLAM</w:t>
            </w:r>
          </w:p>
        </w:tc>
        <w:tc>
          <w:tcPr>
            <w:tcW w:w="840" w:type="pct"/>
            <w:tcMar>
              <w:top w:w="120" w:type="dxa"/>
              <w:left w:w="120" w:type="dxa"/>
              <w:bottom w:w="120" w:type="dxa"/>
              <w:right w:w="120" w:type="dxa"/>
            </w:tcMar>
            <w:vAlign w:val="center"/>
            <w:hideMark/>
          </w:tcPr>
          <w:p w:rsidR="00D742D0" w:rsidRDefault="00D742D0" w:rsidP="00485743">
            <w:pPr>
              <w:spacing w:after="325"/>
              <w:jc w:val="both"/>
              <w:rPr>
                <w:sz w:val="24"/>
                <w:szCs w:val="24"/>
              </w:rPr>
            </w:pPr>
            <w:r>
              <w:rPr>
                <w:rStyle w:val="Gl"/>
              </w:rPr>
              <w:t>28</w:t>
            </w:r>
          </w:p>
        </w:tc>
        <w:tc>
          <w:tcPr>
            <w:tcW w:w="1168" w:type="pct"/>
            <w:tcMar>
              <w:top w:w="120" w:type="dxa"/>
              <w:left w:w="120" w:type="dxa"/>
              <w:bottom w:w="120" w:type="dxa"/>
              <w:right w:w="120" w:type="dxa"/>
            </w:tcMar>
            <w:vAlign w:val="center"/>
            <w:hideMark/>
          </w:tcPr>
          <w:p w:rsidR="00D742D0" w:rsidRDefault="00D742D0" w:rsidP="00485743">
            <w:pPr>
              <w:spacing w:after="325"/>
              <w:jc w:val="both"/>
              <w:rPr>
                <w:sz w:val="24"/>
                <w:szCs w:val="24"/>
              </w:rPr>
            </w:pPr>
            <w:r>
              <w:rPr>
                <w:rStyle w:val="Gl"/>
              </w:rPr>
              <w:t>27</w:t>
            </w:r>
          </w:p>
        </w:tc>
        <w:tc>
          <w:tcPr>
            <w:tcW w:w="686" w:type="pct"/>
            <w:tcMar>
              <w:top w:w="120" w:type="dxa"/>
              <w:left w:w="120" w:type="dxa"/>
              <w:bottom w:w="120" w:type="dxa"/>
              <w:right w:w="120" w:type="dxa"/>
            </w:tcMar>
            <w:vAlign w:val="center"/>
            <w:hideMark/>
          </w:tcPr>
          <w:p w:rsidR="00D742D0" w:rsidRDefault="00D742D0" w:rsidP="00485743">
            <w:pPr>
              <w:spacing w:after="325"/>
              <w:jc w:val="both"/>
              <w:rPr>
                <w:sz w:val="24"/>
                <w:szCs w:val="24"/>
              </w:rPr>
            </w:pPr>
            <w:r>
              <w:rPr>
                <w:rStyle w:val="Gl"/>
              </w:rPr>
              <w:t>41</w:t>
            </w:r>
          </w:p>
        </w:tc>
        <w:tc>
          <w:tcPr>
            <w:tcW w:w="709" w:type="pct"/>
            <w:tcMar>
              <w:top w:w="120" w:type="dxa"/>
              <w:left w:w="120" w:type="dxa"/>
              <w:bottom w:w="120" w:type="dxa"/>
              <w:right w:w="120" w:type="dxa"/>
            </w:tcMar>
            <w:vAlign w:val="center"/>
            <w:hideMark/>
          </w:tcPr>
          <w:p w:rsidR="00D742D0" w:rsidRDefault="00D742D0" w:rsidP="00485743">
            <w:pPr>
              <w:spacing w:after="325"/>
              <w:jc w:val="both"/>
              <w:rPr>
                <w:sz w:val="24"/>
                <w:szCs w:val="24"/>
              </w:rPr>
            </w:pPr>
            <w:r>
              <w:rPr>
                <w:rStyle w:val="Gl"/>
              </w:rPr>
              <w:t>257</w:t>
            </w:r>
          </w:p>
        </w:tc>
        <w:tc>
          <w:tcPr>
            <w:tcW w:w="798" w:type="pct"/>
            <w:tcMar>
              <w:top w:w="120" w:type="dxa"/>
              <w:left w:w="120" w:type="dxa"/>
              <w:bottom w:w="120" w:type="dxa"/>
              <w:right w:w="120" w:type="dxa"/>
            </w:tcMar>
            <w:vAlign w:val="center"/>
            <w:hideMark/>
          </w:tcPr>
          <w:p w:rsidR="00D742D0" w:rsidRDefault="00D742D0" w:rsidP="00485743">
            <w:pPr>
              <w:spacing w:after="325"/>
              <w:jc w:val="both"/>
              <w:rPr>
                <w:sz w:val="24"/>
                <w:szCs w:val="24"/>
              </w:rPr>
            </w:pPr>
            <w:r>
              <w:rPr>
                <w:rStyle w:val="Gl"/>
              </w:rPr>
              <w:t>353</w:t>
            </w:r>
          </w:p>
        </w:tc>
      </w:tr>
    </w:tbl>
    <w:p w:rsidR="00D742D0" w:rsidRDefault="00D742D0" w:rsidP="00485743">
      <w:pPr>
        <w:pStyle w:val="NormalWeb"/>
        <w:shd w:val="clear" w:color="auto" w:fill="FFFFFF"/>
        <w:spacing w:before="0" w:beforeAutospacing="0" w:after="403" w:afterAutospacing="0"/>
        <w:jc w:val="both"/>
        <w:rPr>
          <w:rFonts w:ascii="Verdana" w:hAnsi="Verdana"/>
          <w:color w:val="222222"/>
          <w:sz w:val="23"/>
          <w:szCs w:val="23"/>
        </w:rPr>
      </w:pPr>
      <w:r>
        <w:rPr>
          <w:rStyle w:val="Gl"/>
          <w:rFonts w:ascii="Verdana" w:hAnsi="Verdana"/>
          <w:color w:val="222222"/>
          <w:sz w:val="23"/>
          <w:szCs w:val="23"/>
        </w:rPr>
        <w:t>EKLER:</w:t>
      </w:r>
    </w:p>
    <w:p w:rsidR="00D742D0" w:rsidRDefault="004F27DB" w:rsidP="00485743">
      <w:pPr>
        <w:numPr>
          <w:ilvl w:val="0"/>
          <w:numId w:val="1"/>
        </w:numPr>
        <w:shd w:val="clear" w:color="auto" w:fill="FFFFFF"/>
        <w:spacing w:before="100" w:beforeAutospacing="1" w:after="155" w:line="240" w:lineRule="auto"/>
        <w:ind w:left="1045"/>
        <w:jc w:val="both"/>
        <w:rPr>
          <w:rFonts w:ascii="Verdana" w:hAnsi="Verdana"/>
          <w:color w:val="222222"/>
          <w:sz w:val="23"/>
          <w:szCs w:val="23"/>
        </w:rPr>
      </w:pPr>
      <w:hyperlink r:id="rId7" w:tgtFrame="_blank" w:history="1">
        <w:r w:rsidR="00D742D0">
          <w:rPr>
            <w:rStyle w:val="Kpr"/>
            <w:rFonts w:ascii="Verdana" w:hAnsi="Verdana"/>
            <w:color w:val="000000"/>
            <w:sz w:val="23"/>
            <w:szCs w:val="23"/>
          </w:rPr>
          <w:t>İllere Göre Türkiye’de Faal Durumda Olan Organize Sa</w:t>
        </w:r>
        <w:r w:rsidR="00485743">
          <w:rPr>
            <w:rStyle w:val="Kpr"/>
            <w:rFonts w:ascii="Verdana" w:hAnsi="Verdana"/>
            <w:color w:val="000000"/>
            <w:sz w:val="23"/>
            <w:szCs w:val="23"/>
          </w:rPr>
          <w:t>nayi Bölgelerinin Dağılımı (2022</w:t>
        </w:r>
        <w:r w:rsidR="00D742D0">
          <w:rPr>
            <w:rStyle w:val="Kpr"/>
            <w:rFonts w:ascii="Verdana" w:hAnsi="Verdana"/>
            <w:color w:val="000000"/>
            <w:sz w:val="23"/>
            <w:szCs w:val="23"/>
          </w:rPr>
          <w:t xml:space="preserve"> Yılı)</w:t>
        </w:r>
      </w:hyperlink>
    </w:p>
    <w:p w:rsidR="00D742D0" w:rsidRDefault="004F27DB" w:rsidP="00485743">
      <w:pPr>
        <w:numPr>
          <w:ilvl w:val="0"/>
          <w:numId w:val="1"/>
        </w:numPr>
        <w:shd w:val="clear" w:color="auto" w:fill="FFFFFF"/>
        <w:spacing w:before="100" w:beforeAutospacing="1" w:after="0" w:line="240" w:lineRule="auto"/>
        <w:ind w:left="1045"/>
        <w:jc w:val="both"/>
        <w:rPr>
          <w:rFonts w:ascii="Verdana" w:hAnsi="Verdana"/>
          <w:color w:val="222222"/>
          <w:sz w:val="23"/>
          <w:szCs w:val="23"/>
        </w:rPr>
      </w:pPr>
      <w:hyperlink r:id="rId8" w:tgtFrame="_blank" w:history="1">
        <w:r w:rsidR="00D742D0">
          <w:rPr>
            <w:rStyle w:val="Kpr"/>
            <w:rFonts w:ascii="Verdana" w:hAnsi="Verdana"/>
            <w:color w:val="000000"/>
            <w:sz w:val="23"/>
            <w:szCs w:val="23"/>
          </w:rPr>
          <w:t>İllere, Türlerine ve Fiili Durumlarına Göre Türkiye’de Organiz</w:t>
        </w:r>
        <w:r w:rsidR="00485743">
          <w:rPr>
            <w:rStyle w:val="Kpr"/>
            <w:rFonts w:ascii="Verdana" w:hAnsi="Verdana"/>
            <w:color w:val="000000"/>
            <w:sz w:val="23"/>
            <w:szCs w:val="23"/>
          </w:rPr>
          <w:t>e Sanayi Bölgeleri Listesi (2022</w:t>
        </w:r>
        <w:r w:rsidR="00D742D0">
          <w:rPr>
            <w:rStyle w:val="Kpr"/>
            <w:rFonts w:ascii="Verdana" w:hAnsi="Verdana"/>
            <w:color w:val="000000"/>
            <w:sz w:val="23"/>
            <w:szCs w:val="23"/>
          </w:rPr>
          <w:t xml:space="preserve"> Yılı)</w:t>
        </w:r>
      </w:hyperlink>
    </w:p>
    <w:p w:rsidR="001F701B" w:rsidRDefault="001F701B" w:rsidP="00485743">
      <w:pPr>
        <w:jc w:val="both"/>
      </w:pPr>
    </w:p>
    <w:sectPr w:rsidR="001F701B" w:rsidSect="001F70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94FAF"/>
    <w:multiLevelType w:val="multilevel"/>
    <w:tmpl w:val="E3108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9122BC"/>
    <w:rsid w:val="00196EDB"/>
    <w:rsid w:val="001F701B"/>
    <w:rsid w:val="00367F35"/>
    <w:rsid w:val="00485743"/>
    <w:rsid w:val="004F27DB"/>
    <w:rsid w:val="00714CD1"/>
    <w:rsid w:val="009122BC"/>
    <w:rsid w:val="00A84907"/>
    <w:rsid w:val="00D742D0"/>
    <w:rsid w:val="00DF21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01B"/>
  </w:style>
  <w:style w:type="paragraph" w:styleId="Balk1">
    <w:name w:val="heading 1"/>
    <w:basedOn w:val="Normal"/>
    <w:link w:val="Balk1Char"/>
    <w:uiPriority w:val="9"/>
    <w:qFormat/>
    <w:rsid w:val="009122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122B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122B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122BC"/>
    <w:rPr>
      <w:rFonts w:ascii="Times New Roman" w:eastAsia="Times New Roman" w:hAnsi="Times New Roman" w:cs="Times New Roman"/>
      <w:b/>
      <w:bCs/>
      <w:sz w:val="36"/>
      <w:szCs w:val="36"/>
      <w:lang w:eastAsia="tr-TR"/>
    </w:rPr>
  </w:style>
  <w:style w:type="character" w:customStyle="1" w:styleId="date-item">
    <w:name w:val="date-item"/>
    <w:basedOn w:val="VarsaylanParagrafYazTipi"/>
    <w:rsid w:val="009122BC"/>
  </w:style>
  <w:style w:type="paragraph" w:styleId="NormalWeb">
    <w:name w:val="Normal (Web)"/>
    <w:basedOn w:val="Normal"/>
    <w:uiPriority w:val="99"/>
    <w:semiHidden/>
    <w:unhideWhenUsed/>
    <w:rsid w:val="009122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122BC"/>
    <w:rPr>
      <w:color w:val="0000FF"/>
      <w:u w:val="single"/>
    </w:rPr>
  </w:style>
  <w:style w:type="character" w:styleId="Gl">
    <w:name w:val="Strong"/>
    <w:basedOn w:val="VarsaylanParagrafYazTipi"/>
    <w:uiPriority w:val="22"/>
    <w:qFormat/>
    <w:rsid w:val="009122BC"/>
    <w:rPr>
      <w:b/>
      <w:bCs/>
    </w:rPr>
  </w:style>
  <w:style w:type="paragraph" w:styleId="BalonMetni">
    <w:name w:val="Balloon Text"/>
    <w:basedOn w:val="Normal"/>
    <w:link w:val="BalonMetniChar"/>
    <w:uiPriority w:val="99"/>
    <w:semiHidden/>
    <w:unhideWhenUsed/>
    <w:rsid w:val="009122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22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8749282">
      <w:bodyDiv w:val="1"/>
      <w:marLeft w:val="0"/>
      <w:marRight w:val="0"/>
      <w:marTop w:val="0"/>
      <w:marBottom w:val="0"/>
      <w:divBdr>
        <w:top w:val="none" w:sz="0" w:space="0" w:color="auto"/>
        <w:left w:val="none" w:sz="0" w:space="0" w:color="auto"/>
        <w:bottom w:val="none" w:sz="0" w:space="0" w:color="auto"/>
        <w:right w:val="none" w:sz="0" w:space="0" w:color="auto"/>
      </w:divBdr>
      <w:divsChild>
        <w:div w:id="1402407896">
          <w:marLeft w:val="0"/>
          <w:marRight w:val="0"/>
          <w:marTop w:val="0"/>
          <w:marBottom w:val="310"/>
          <w:divBdr>
            <w:top w:val="none" w:sz="0" w:space="0" w:color="auto"/>
            <w:left w:val="none" w:sz="0" w:space="0" w:color="auto"/>
            <w:bottom w:val="none" w:sz="0" w:space="0" w:color="auto"/>
            <w:right w:val="none" w:sz="0" w:space="0" w:color="auto"/>
          </w:divBdr>
          <w:divsChild>
            <w:div w:id="235818632">
              <w:marLeft w:val="0"/>
              <w:marRight w:val="0"/>
              <w:marTop w:val="124"/>
              <w:marBottom w:val="0"/>
              <w:divBdr>
                <w:top w:val="none" w:sz="0" w:space="0" w:color="auto"/>
                <w:left w:val="none" w:sz="0" w:space="0" w:color="auto"/>
                <w:bottom w:val="none" w:sz="0" w:space="0" w:color="auto"/>
                <w:right w:val="none" w:sz="0" w:space="0" w:color="auto"/>
              </w:divBdr>
            </w:div>
          </w:divsChild>
        </w:div>
        <w:div w:id="1447575274">
          <w:marLeft w:val="0"/>
          <w:marRight w:val="0"/>
          <w:marTop w:val="0"/>
          <w:marBottom w:val="0"/>
          <w:divBdr>
            <w:top w:val="none" w:sz="0" w:space="0" w:color="auto"/>
            <w:left w:val="none" w:sz="0" w:space="0" w:color="auto"/>
            <w:bottom w:val="none" w:sz="0" w:space="0" w:color="auto"/>
            <w:right w:val="none" w:sz="0" w:space="0" w:color="auto"/>
          </w:divBdr>
        </w:div>
      </w:divsChild>
    </w:div>
    <w:div w:id="2007319098">
      <w:bodyDiv w:val="1"/>
      <w:marLeft w:val="0"/>
      <w:marRight w:val="0"/>
      <w:marTop w:val="0"/>
      <w:marBottom w:val="0"/>
      <w:divBdr>
        <w:top w:val="none" w:sz="0" w:space="0" w:color="auto"/>
        <w:left w:val="none" w:sz="0" w:space="0" w:color="auto"/>
        <w:bottom w:val="none" w:sz="0" w:space="0" w:color="auto"/>
        <w:right w:val="none" w:sz="0" w:space="0" w:color="auto"/>
      </w:divBdr>
    </w:div>
    <w:div w:id="201229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datastats.com/illere-turlerine-ve-fiili-duurmlarina-gore-turkiyede-organize-sanayi-bolgeleri-listesi-2021-yili/" TargetMode="External"/><Relationship Id="rId3" Type="http://schemas.openxmlformats.org/officeDocument/2006/relationships/settings" Target="settings.xml"/><Relationship Id="rId7" Type="http://schemas.openxmlformats.org/officeDocument/2006/relationships/hyperlink" Target="https://www.drdatastats.com/illere-gore-turkiyede-faal-durumda-olan-organize-sanayi-bolgelerinin-dagilimi-2021-yi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konomi.haber7.com/" TargetMode="External"/><Relationship Id="rId5" Type="http://schemas.openxmlformats.org/officeDocument/2006/relationships/hyperlink" Target="https://www.haber7.com/gunce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5</cp:revision>
  <dcterms:created xsi:type="dcterms:W3CDTF">2022-11-23T08:19:00Z</dcterms:created>
  <dcterms:modified xsi:type="dcterms:W3CDTF">2022-11-23T08:33:00Z</dcterms:modified>
</cp:coreProperties>
</file>