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BC" w:rsidRPr="009122BC" w:rsidRDefault="009122BC" w:rsidP="00485743">
      <w:pPr>
        <w:spacing w:after="155" w:line="650" w:lineRule="atLeast"/>
        <w:jc w:val="both"/>
        <w:outlineLvl w:val="0"/>
        <w:rPr>
          <w:rFonts w:ascii="Arial" w:eastAsia="Times New Roman" w:hAnsi="Arial" w:cs="Arial"/>
          <w:color w:val="222222"/>
          <w:kern w:val="36"/>
          <w:sz w:val="56"/>
          <w:szCs w:val="56"/>
          <w:lang w:eastAsia="tr-TR"/>
        </w:rPr>
      </w:pPr>
      <w:r w:rsidRPr="009122BC">
        <w:rPr>
          <w:rFonts w:ascii="Arial" w:eastAsia="Times New Roman" w:hAnsi="Arial" w:cs="Arial"/>
          <w:color w:val="222222"/>
          <w:kern w:val="36"/>
          <w:sz w:val="56"/>
          <w:szCs w:val="56"/>
          <w:lang w:eastAsia="tr-TR"/>
        </w:rPr>
        <w:t>Hangi şehirde kaç organize sanayi bölgesi var?</w:t>
      </w:r>
    </w:p>
    <w:p w:rsidR="009122BC" w:rsidRPr="009122BC" w:rsidRDefault="009122BC" w:rsidP="00485743">
      <w:pPr>
        <w:spacing w:after="0" w:line="418" w:lineRule="atLeast"/>
        <w:jc w:val="both"/>
        <w:outlineLvl w:val="1"/>
        <w:rPr>
          <w:rFonts w:ascii="Arial" w:eastAsia="Times New Roman" w:hAnsi="Arial" w:cs="Arial"/>
          <w:color w:val="444444"/>
          <w:sz w:val="28"/>
          <w:szCs w:val="28"/>
          <w:lang w:eastAsia="tr-TR"/>
        </w:rPr>
      </w:pPr>
      <w:r w:rsidRPr="009122BC">
        <w:rPr>
          <w:rFonts w:ascii="Arial" w:eastAsia="Times New Roman" w:hAnsi="Arial" w:cs="Arial"/>
          <w:color w:val="444444"/>
          <w:sz w:val="28"/>
          <w:szCs w:val="28"/>
          <w:lang w:eastAsia="tr-TR"/>
        </w:rPr>
        <w:t>Şehir merkezinden uzak, çevreci ve enerji maliyetlerini düşüren bir sanayileşme modeli olarak bilinen Organize Sanayi Bölgelerinin (OSB) sayısı yıllar içinde arttı. OSB'lerin il bazında dağılımı şöyle:</w:t>
      </w:r>
    </w:p>
    <w:p w:rsidR="009122BC" w:rsidRPr="009122BC" w:rsidRDefault="009122BC" w:rsidP="00485743">
      <w:pPr>
        <w:spacing w:after="0" w:line="240" w:lineRule="auto"/>
        <w:jc w:val="both"/>
        <w:rPr>
          <w:rFonts w:ascii="Times New Roman" w:eastAsia="Times New Roman" w:hAnsi="Times New Roman" w:cs="Times New Roman"/>
          <w:sz w:val="24"/>
          <w:szCs w:val="24"/>
          <w:lang w:eastAsia="tr-TR"/>
        </w:rPr>
      </w:pP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Gaziantep-Kilis arasında ortak OSB kurulmasına ilişkin dosyanın Bilim, Sanayi ve Teknoloji Bakanlığına sunulmasıyla yeniden </w:t>
      </w:r>
      <w:hyperlink r:id="rId5" w:tgtFrame="_blank" w:tooltip="Güncel Haberleri" w:history="1">
        <w:r w:rsidRPr="009122BC">
          <w:rPr>
            <w:rFonts w:ascii="Times New Roman" w:eastAsia="Times New Roman" w:hAnsi="Times New Roman" w:cs="Times New Roman"/>
            <w:color w:val="11648D"/>
            <w:sz w:val="28"/>
            <w:lang w:eastAsia="tr-TR"/>
          </w:rPr>
          <w:t>gündem</w:t>
        </w:r>
      </w:hyperlink>
      <w:r w:rsidRPr="009122BC">
        <w:rPr>
          <w:rFonts w:ascii="Times New Roman" w:eastAsia="Times New Roman" w:hAnsi="Times New Roman" w:cs="Times New Roman"/>
          <w:color w:val="333333"/>
          <w:sz w:val="28"/>
          <w:szCs w:val="28"/>
          <w:lang w:eastAsia="tr-TR"/>
        </w:rPr>
        <w:t>e gelen OSB'ler, zamanla geleneksel sanayi sitelerinin yerini almaya başladı.</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AA muhabirinin derlediği bilgilere göre, kentlerin planlı gelişmesine katkıda bulunulması, verimlilik ve kar artışı sağlaması, sanayinin az gelişmiş bölgelerde yaygınlaştırılması gibi avantajları olan OSB'lerin ilki 1962 yılında Bursa'da kuruldu.</w:t>
      </w:r>
    </w:p>
    <w:p w:rsidR="00DF21DA" w:rsidRPr="00D742D0" w:rsidRDefault="00A84907" w:rsidP="00485743">
      <w:pPr>
        <w:shd w:val="clear" w:color="auto" w:fill="FFFFFF"/>
        <w:spacing w:before="124" w:after="186" w:line="588" w:lineRule="atLeast"/>
        <w:jc w:val="both"/>
        <w:outlineLvl w:val="1"/>
        <w:rPr>
          <w:rFonts w:ascii="Arial" w:eastAsia="Times New Roman" w:hAnsi="Arial" w:cs="Arial"/>
          <w:b/>
          <w:bCs/>
          <w:color w:val="1F1F1F"/>
          <w:sz w:val="44"/>
          <w:szCs w:val="44"/>
          <w:lang w:eastAsia="tr-TR"/>
        </w:rPr>
      </w:pPr>
      <w:r>
        <w:rPr>
          <w:rFonts w:ascii="Arial" w:eastAsia="Times New Roman" w:hAnsi="Arial" w:cs="Arial"/>
          <w:b/>
          <w:bCs/>
          <w:color w:val="1F1F1F"/>
          <w:sz w:val="44"/>
          <w:szCs w:val="44"/>
          <w:lang w:eastAsia="tr-TR"/>
        </w:rPr>
        <w:t>TÜRKİYE’DE OSB SAYISI 37</w:t>
      </w:r>
      <w:r w:rsidR="00DF21DA" w:rsidRPr="00D742D0">
        <w:rPr>
          <w:rFonts w:ascii="Arial" w:eastAsia="Times New Roman" w:hAnsi="Arial" w:cs="Arial"/>
          <w:b/>
          <w:bCs/>
          <w:color w:val="1F1F1F"/>
          <w:sz w:val="44"/>
          <w:szCs w:val="44"/>
          <w:lang w:eastAsia="tr-TR"/>
        </w:rPr>
        <w:t>7’YE ULAŞTI</w:t>
      </w:r>
    </w:p>
    <w:p w:rsidR="009122BC" w:rsidRPr="009122BC" w:rsidRDefault="00DF21DA"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B</w:t>
      </w:r>
      <w:r w:rsidR="009122BC" w:rsidRPr="009122BC">
        <w:rPr>
          <w:rFonts w:ascii="Times New Roman" w:eastAsia="Times New Roman" w:hAnsi="Times New Roman" w:cs="Times New Roman"/>
          <w:color w:val="333333"/>
          <w:sz w:val="28"/>
          <w:szCs w:val="28"/>
          <w:lang w:eastAsia="tr-TR"/>
        </w:rPr>
        <w:t>unların 33'ü ihtisas, 10'u Gıda, Tarım ve Hayvancılık Bakanlığına bağlı, 7'si ıslah, 2'si özel, kalanı da karma OSB olarak faaliyet gösteriyor.</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b/>
          <w:bCs/>
          <w:color w:val="0000FF"/>
          <w:sz w:val="28"/>
          <w:lang w:eastAsia="tr-TR"/>
        </w:rPr>
        <w:t>Batı illeri öncü</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Türkiye'nin batısındaki sanayileşmiş illerde daha fazla OSB'nin bulunduğu dikkati çekiyor.</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 xml:space="preserve">Bursa, İzmir ve Kocaeli 13'er OSB ile en fazla yapılanmanın bulunduğu iller olarak ön plana çıkarken, bu illeri sırasıyla Ankara (11) ve Tekirdağ (10) </w:t>
      </w:r>
      <w:proofErr w:type="gramStart"/>
      <w:r w:rsidRPr="009122BC">
        <w:rPr>
          <w:rFonts w:ascii="Times New Roman" w:eastAsia="Times New Roman" w:hAnsi="Times New Roman" w:cs="Times New Roman"/>
          <w:color w:val="333333"/>
          <w:sz w:val="28"/>
          <w:szCs w:val="28"/>
          <w:lang w:eastAsia="tr-TR"/>
        </w:rPr>
        <w:t>izliyor.OSB</w:t>
      </w:r>
      <w:proofErr w:type="gramEnd"/>
      <w:r w:rsidRPr="009122BC">
        <w:rPr>
          <w:rFonts w:ascii="Times New Roman" w:eastAsia="Times New Roman" w:hAnsi="Times New Roman" w:cs="Times New Roman"/>
          <w:color w:val="333333"/>
          <w:sz w:val="28"/>
          <w:szCs w:val="28"/>
          <w:lang w:eastAsia="tr-TR"/>
        </w:rPr>
        <w:t> bulunmayan tek il ise Artvin.</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 xml:space="preserve">Bölgesel </w:t>
      </w:r>
      <w:proofErr w:type="gramStart"/>
      <w:r w:rsidRPr="009122BC">
        <w:rPr>
          <w:rFonts w:ascii="Times New Roman" w:eastAsia="Times New Roman" w:hAnsi="Times New Roman" w:cs="Times New Roman"/>
          <w:color w:val="333333"/>
          <w:sz w:val="28"/>
          <w:szCs w:val="28"/>
          <w:lang w:eastAsia="tr-TR"/>
        </w:rPr>
        <w:t>bazda</w:t>
      </w:r>
      <w:proofErr w:type="gramEnd"/>
      <w:r w:rsidRPr="009122BC">
        <w:rPr>
          <w:rFonts w:ascii="Times New Roman" w:eastAsia="Times New Roman" w:hAnsi="Times New Roman" w:cs="Times New Roman"/>
          <w:color w:val="333333"/>
          <w:sz w:val="28"/>
          <w:szCs w:val="28"/>
          <w:lang w:eastAsia="tr-TR"/>
        </w:rPr>
        <w:t xml:space="preserve"> değerlendirildiğinde ise OSB'lerin yüzde 44,2'si Marmara (72) ve Ege (50) bölgelerinde bulunuyor. Bunları, İç Anadolu (48), Karadeniz (41), </w:t>
      </w:r>
      <w:r w:rsidRPr="009122BC">
        <w:rPr>
          <w:rFonts w:ascii="Times New Roman" w:eastAsia="Times New Roman" w:hAnsi="Times New Roman" w:cs="Times New Roman"/>
          <w:color w:val="333333"/>
          <w:sz w:val="28"/>
          <w:szCs w:val="28"/>
          <w:lang w:eastAsia="tr-TR"/>
        </w:rPr>
        <w:lastRenderedPageBreak/>
        <w:t>Doğu Anadolu (22) ve Akdeniz (22) ile Güneydoğu Anadolu (21) bölgeleri takip ediyor.</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Mevcut OSB'ler yurt genelinde yaklaşık 750 kilometrekarelik bir alanı kaplarken, 19'unun da inşaatı sürüyor.</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OSB'lerde faaliyet gösteren 57 bin 263 firmada 1 milyon 431 bin 440 kayıtlı kişi çalışıyor.</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b/>
          <w:bCs/>
          <w:color w:val="0000FF"/>
          <w:sz w:val="28"/>
          <w:lang w:eastAsia="tr-TR"/>
        </w:rPr>
        <w:t>"Planlı sanayileşme açısından önemli"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Organize Sanayi Bölgeleri Derneği (OSBDER) Başkanı Hüseyin Kutsi Tuncay, OSB'lerin planlı, çevreye duyarlı sanayileşme ve kayıtlı </w:t>
      </w:r>
      <w:hyperlink r:id="rId6" w:tgtFrame="_blank" w:tooltip="Ekonomi" w:history="1">
        <w:r w:rsidRPr="009122BC">
          <w:rPr>
            <w:rFonts w:ascii="Times New Roman" w:eastAsia="Times New Roman" w:hAnsi="Times New Roman" w:cs="Times New Roman"/>
            <w:color w:val="11648D"/>
            <w:sz w:val="28"/>
            <w:lang w:eastAsia="tr-TR"/>
          </w:rPr>
          <w:t>ekonomi</w:t>
        </w:r>
      </w:hyperlink>
      <w:r w:rsidRPr="009122BC">
        <w:rPr>
          <w:rFonts w:ascii="Times New Roman" w:eastAsia="Times New Roman" w:hAnsi="Times New Roman" w:cs="Times New Roman"/>
          <w:color w:val="333333"/>
          <w:sz w:val="28"/>
          <w:szCs w:val="28"/>
          <w:lang w:eastAsia="tr-TR"/>
        </w:rPr>
        <w:t>nin iyi bir örneği olduğunu söyledi.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OSB modelinin ülke kaynaklarının israf edilmemesi açısından önemine değinen Tuncay, bu yapılanmalarının kara, deniz, hava ve demiryolu ulaşımının en az üçünün bir arada olduğu yerlerde oluşması gerektiğini dile getirdi.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Yer seçimi yapılırken ilgili 7 bakanlığa bağlı 22 müdürlük ve genel müdürlüğünün onayının gerektiğini anlatan Tuncay, "Bürokrasi varmış gibi gözükse de bu durum, planlı sanayileşme açısından önemli" dedi.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Planlı ve çevreye duyarlı yatırımların üretim maliyetlerini artırmasına karşın bunları savunduklarını belirten Tuncay, "Bırakın etkilesin. Yeter ki bu ülkenin kaynaklarını heba etmeyelim" diye konuştu.</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b/>
          <w:bCs/>
          <w:color w:val="0000FF"/>
          <w:sz w:val="28"/>
          <w:lang w:eastAsia="tr-TR"/>
        </w:rPr>
        <w:t>"OSB'ler teşvik edilmeli"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Çarpık sanayileşmenin önlenmesi açısından da OSB'lerin etkili olduğunu kaydeden Tuncay, bu model kapsamındaki yatırımların teşvik edilmesi gerektiğini söyledi.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lastRenderedPageBreak/>
        <w:t>Gelişmiş ülkelerde sanayi bölgelerinin yerlerinin devlet tarafından belirlenerek, altyapı ve genel hizmetlerinin yine devlet tarafından karşılandığına işaret eden Tuncay, kendilerinin ise bu tip desteklerden yoksun olduklarını belirtti.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OSB'lerin bir dönem devlet desteklerinden yararlandığını ifade eden Tuncay, bu desteklerin süreç içerisinde kalktığına dikkati çekti.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b/>
          <w:bCs/>
          <w:color w:val="0000FF"/>
          <w:sz w:val="28"/>
          <w:lang w:eastAsia="tr-TR"/>
        </w:rPr>
        <w:t>"2 milyon kişiye istihdam"</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Tuncay, 276 OSB'nin Türkiye için yeterli olup olmadığını değerlendirirken, bunların yüzde 47'sinin boş olduğunu, yüzde 54'ünde de bir veya birden fazla yatırımcı bulunduğunu kaydetti.</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Tamamı üretime geçtiğinde OSB'lerin yaklaşık 2 milyon kişilik istihdam sağlama kapasitesine sahip olduğunu anlatan Tuncay, "Yeterli veya yetersizden çok Türkiye'de gecekondu sanayileşmenin fazlalığını görmek gerekiyor. Sonuçta OSB yapılanması doğru bir yapılanma. Gecekondu sanayileşme önlenip, OSB'lere taşınma maliyetleri desteklenirse mevcutları yetmeyecektir. Rakamlara ve OSB'lerin genel durumuna bakıldığında arz-talep dengesi bozuk" ifadesini kullandı.</w:t>
      </w:r>
    </w:p>
    <w:p w:rsidR="009122BC" w:rsidRPr="009122BC" w:rsidRDefault="009122BC" w:rsidP="00485743">
      <w:pPr>
        <w:shd w:val="clear" w:color="auto" w:fill="FAF8F8"/>
        <w:spacing w:after="310" w:line="465" w:lineRule="atLeast"/>
        <w:jc w:val="both"/>
        <w:rPr>
          <w:rFonts w:ascii="Times New Roman" w:eastAsia="Times New Roman" w:hAnsi="Times New Roman" w:cs="Times New Roman"/>
          <w:color w:val="333333"/>
          <w:sz w:val="28"/>
          <w:szCs w:val="28"/>
          <w:lang w:eastAsia="tr-TR"/>
        </w:rPr>
      </w:pPr>
      <w:r w:rsidRPr="009122BC">
        <w:rPr>
          <w:rFonts w:ascii="Times New Roman" w:eastAsia="Times New Roman" w:hAnsi="Times New Roman" w:cs="Times New Roman"/>
          <w:color w:val="333333"/>
          <w:sz w:val="28"/>
          <w:szCs w:val="28"/>
          <w:lang w:eastAsia="tr-TR"/>
        </w:rPr>
        <w:t>OSB'lerin il bazında dağılımı şöyle:</w:t>
      </w:r>
    </w:p>
    <w:p w:rsidR="00D742D0" w:rsidRDefault="00D742D0" w:rsidP="00485743">
      <w:pPr>
        <w:pStyle w:val="NormalWeb"/>
        <w:shd w:val="clear" w:color="auto" w:fill="FFFFFF"/>
        <w:spacing w:before="0" w:beforeAutospacing="0" w:after="403" w:afterAutospacing="0"/>
        <w:jc w:val="both"/>
        <w:rPr>
          <w:rFonts w:ascii="Verdana" w:hAnsi="Verdana"/>
          <w:color w:val="222222"/>
          <w:sz w:val="23"/>
          <w:szCs w:val="23"/>
        </w:rPr>
      </w:pPr>
      <w:r>
        <w:rPr>
          <w:rFonts w:ascii="Verdana" w:hAnsi="Verdana"/>
          <w:color w:val="222222"/>
          <w:sz w:val="23"/>
          <w:szCs w:val="23"/>
        </w:rPr>
        <w:t>Organize Sanayi Bölgeleri (OSB) ülke ekonomilerinin uluslararası rekabet edebilir bir yapıya kavuşturulması, teknoloji transferinin sağlanması, üretim ve istihdamın arttırılması, yabancı sermaye girişinin hızlandırılması ve büyük ölçekli yatırımlar için uygun sanayi alanları oluşturulması için oluşturulur. İlk OSB uygulamaları 19. yüzyılın sonlarında İngiltere’de, daha sonra ise Amerika Birleşik Devletleri’nde görülmüştür. Sanayi için altyapılı arsaların oluşturulduğu OSB uygulamasına Türkiye’de ilk olarak Bursa’da başlanmıştır. 1962-2002 yılları arasında hizmete giren OSB sayısı 70 olurken, 2021 yılında faal durumda olan OSB sayısı 257 olmuştur.</w:t>
      </w:r>
    </w:p>
    <w:p w:rsidR="00D742D0" w:rsidRDefault="00D742D0" w:rsidP="00485743">
      <w:pPr>
        <w:pStyle w:val="NormalWeb"/>
        <w:shd w:val="clear" w:color="auto" w:fill="FFFFFF"/>
        <w:spacing w:before="0" w:beforeAutospacing="0" w:after="403" w:afterAutospacing="0"/>
        <w:jc w:val="both"/>
        <w:rPr>
          <w:rFonts w:ascii="Verdana" w:hAnsi="Verdana"/>
          <w:color w:val="222222"/>
          <w:sz w:val="23"/>
          <w:szCs w:val="23"/>
        </w:rPr>
      </w:pPr>
      <w:r>
        <w:rPr>
          <w:rFonts w:ascii="Verdana" w:hAnsi="Verdana"/>
          <w:color w:val="222222"/>
          <w:sz w:val="23"/>
          <w:szCs w:val="23"/>
        </w:rPr>
        <w:t xml:space="preserve">2021 yılı itibarıyla Türkiye’de yapımı planlamış olan 28 OSB, kamulaştırılması yapılan 27 OSB ve altyapısı yapılan 41 OSB mevcuttur. 2021 yılında faal durumda olan 257 OSB’nin 249’U Sanayi ve Teknoloji Bakanlığı Onaylı OSB </w:t>
      </w:r>
      <w:r>
        <w:rPr>
          <w:rFonts w:ascii="Verdana" w:hAnsi="Verdana"/>
          <w:color w:val="222222"/>
          <w:sz w:val="23"/>
          <w:szCs w:val="23"/>
        </w:rPr>
        <w:lastRenderedPageBreak/>
        <w:t xml:space="preserve">iken 8’i Tarım ve Orman Bakanlığı Onaylı </w:t>
      </w:r>
      <w:proofErr w:type="spellStart"/>
      <w:r>
        <w:rPr>
          <w:rFonts w:ascii="Verdana" w:hAnsi="Verdana"/>
          <w:color w:val="222222"/>
          <w:sz w:val="23"/>
          <w:szCs w:val="23"/>
        </w:rPr>
        <w:t>TDİOSB’dir</w:t>
      </w:r>
      <w:proofErr w:type="spellEnd"/>
      <w:r>
        <w:rPr>
          <w:rFonts w:ascii="Verdana" w:hAnsi="Verdana"/>
          <w:color w:val="222222"/>
          <w:sz w:val="23"/>
          <w:szCs w:val="23"/>
        </w:rPr>
        <w:t xml:space="preserve">. Aşağıdaki tablo </w:t>
      </w:r>
      <w:proofErr w:type="spellStart"/>
      <w:r>
        <w:rPr>
          <w:rFonts w:ascii="Verdana" w:hAnsi="Verdana"/>
          <w:color w:val="222222"/>
          <w:sz w:val="23"/>
          <w:szCs w:val="23"/>
        </w:rPr>
        <w:t>OSB’in</w:t>
      </w:r>
      <w:proofErr w:type="spellEnd"/>
      <w:r>
        <w:rPr>
          <w:rFonts w:ascii="Verdana" w:hAnsi="Verdana"/>
          <w:color w:val="222222"/>
          <w:sz w:val="23"/>
          <w:szCs w:val="23"/>
        </w:rPr>
        <w:t xml:space="preserve"> fiili durumlarına ve türlerine göre dağılımlarını göstermektedir.</w:t>
      </w:r>
    </w:p>
    <w:tbl>
      <w:tblPr>
        <w:tblW w:w="5000" w:type="pct"/>
        <w:tblCellMar>
          <w:top w:w="15" w:type="dxa"/>
          <w:left w:w="15" w:type="dxa"/>
          <w:bottom w:w="15" w:type="dxa"/>
          <w:right w:w="15" w:type="dxa"/>
        </w:tblCellMar>
        <w:tblLook w:val="04A0"/>
      </w:tblPr>
      <w:tblGrid>
        <w:gridCol w:w="1487"/>
        <w:gridCol w:w="1565"/>
        <w:gridCol w:w="2176"/>
        <w:gridCol w:w="1278"/>
        <w:gridCol w:w="1320"/>
        <w:gridCol w:w="1486"/>
      </w:tblGrid>
      <w:tr w:rsidR="00D742D0" w:rsidTr="00D742D0">
        <w:tc>
          <w:tcPr>
            <w:tcW w:w="79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TÜR</w:t>
            </w:r>
          </w:p>
        </w:tc>
        <w:tc>
          <w:tcPr>
            <w:tcW w:w="840"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Planlama</w:t>
            </w:r>
          </w:p>
        </w:tc>
        <w:tc>
          <w:tcPr>
            <w:tcW w:w="116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Kamulaştırma</w:t>
            </w:r>
          </w:p>
        </w:tc>
        <w:tc>
          <w:tcPr>
            <w:tcW w:w="686"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Altyapı</w:t>
            </w:r>
          </w:p>
        </w:tc>
        <w:tc>
          <w:tcPr>
            <w:tcW w:w="709"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İşletme</w:t>
            </w:r>
          </w:p>
        </w:tc>
        <w:tc>
          <w:tcPr>
            <w:tcW w:w="79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TOPLAM</w:t>
            </w:r>
          </w:p>
        </w:tc>
      </w:tr>
      <w:tr w:rsidR="00D742D0" w:rsidTr="00D742D0">
        <w:tc>
          <w:tcPr>
            <w:tcW w:w="79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OSB</w:t>
            </w:r>
          </w:p>
        </w:tc>
        <w:tc>
          <w:tcPr>
            <w:tcW w:w="840"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16</w:t>
            </w:r>
          </w:p>
        </w:tc>
        <w:tc>
          <w:tcPr>
            <w:tcW w:w="116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22</w:t>
            </w:r>
          </w:p>
        </w:tc>
        <w:tc>
          <w:tcPr>
            <w:tcW w:w="686"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39</w:t>
            </w:r>
          </w:p>
        </w:tc>
        <w:tc>
          <w:tcPr>
            <w:tcW w:w="709"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249</w:t>
            </w:r>
          </w:p>
        </w:tc>
        <w:tc>
          <w:tcPr>
            <w:tcW w:w="79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t>326</w:t>
            </w:r>
          </w:p>
        </w:tc>
      </w:tr>
      <w:tr w:rsidR="00D742D0" w:rsidTr="00D742D0">
        <w:tc>
          <w:tcPr>
            <w:tcW w:w="79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TDİOSB</w:t>
            </w:r>
          </w:p>
        </w:tc>
        <w:tc>
          <w:tcPr>
            <w:tcW w:w="840"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12</w:t>
            </w:r>
          </w:p>
        </w:tc>
        <w:tc>
          <w:tcPr>
            <w:tcW w:w="116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5</w:t>
            </w:r>
          </w:p>
        </w:tc>
        <w:tc>
          <w:tcPr>
            <w:tcW w:w="686"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2</w:t>
            </w:r>
          </w:p>
        </w:tc>
        <w:tc>
          <w:tcPr>
            <w:tcW w:w="709"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8</w:t>
            </w:r>
          </w:p>
        </w:tc>
        <w:tc>
          <w:tcPr>
            <w:tcW w:w="798" w:type="pct"/>
            <w:shd w:val="clear" w:color="auto" w:fill="F0F0F0"/>
            <w:tcMar>
              <w:top w:w="120" w:type="dxa"/>
              <w:left w:w="120" w:type="dxa"/>
              <w:bottom w:w="120" w:type="dxa"/>
              <w:right w:w="120" w:type="dxa"/>
            </w:tcMar>
            <w:vAlign w:val="center"/>
            <w:hideMark/>
          </w:tcPr>
          <w:p w:rsidR="00D742D0" w:rsidRDefault="00D742D0" w:rsidP="00485743">
            <w:pPr>
              <w:spacing w:after="325"/>
              <w:jc w:val="both"/>
              <w:rPr>
                <w:sz w:val="24"/>
                <w:szCs w:val="24"/>
              </w:rPr>
            </w:pPr>
            <w:r>
              <w:t>27</w:t>
            </w:r>
          </w:p>
        </w:tc>
      </w:tr>
      <w:tr w:rsidR="00D742D0" w:rsidTr="00D742D0">
        <w:tc>
          <w:tcPr>
            <w:tcW w:w="79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TOPLAM</w:t>
            </w:r>
          </w:p>
        </w:tc>
        <w:tc>
          <w:tcPr>
            <w:tcW w:w="840"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28</w:t>
            </w:r>
          </w:p>
        </w:tc>
        <w:tc>
          <w:tcPr>
            <w:tcW w:w="116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27</w:t>
            </w:r>
          </w:p>
        </w:tc>
        <w:tc>
          <w:tcPr>
            <w:tcW w:w="686"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41</w:t>
            </w:r>
          </w:p>
        </w:tc>
        <w:tc>
          <w:tcPr>
            <w:tcW w:w="709"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257</w:t>
            </w:r>
          </w:p>
        </w:tc>
        <w:tc>
          <w:tcPr>
            <w:tcW w:w="798" w:type="pct"/>
            <w:tcMar>
              <w:top w:w="120" w:type="dxa"/>
              <w:left w:w="120" w:type="dxa"/>
              <w:bottom w:w="120" w:type="dxa"/>
              <w:right w:w="120" w:type="dxa"/>
            </w:tcMar>
            <w:vAlign w:val="center"/>
            <w:hideMark/>
          </w:tcPr>
          <w:p w:rsidR="00D742D0" w:rsidRDefault="00D742D0" w:rsidP="00485743">
            <w:pPr>
              <w:spacing w:after="325"/>
              <w:jc w:val="both"/>
              <w:rPr>
                <w:sz w:val="24"/>
                <w:szCs w:val="24"/>
              </w:rPr>
            </w:pPr>
            <w:r>
              <w:rPr>
                <w:rStyle w:val="Gl"/>
              </w:rPr>
              <w:t>353</w:t>
            </w:r>
          </w:p>
        </w:tc>
      </w:tr>
    </w:tbl>
    <w:p w:rsidR="00D742D0" w:rsidRDefault="00D742D0" w:rsidP="00485743">
      <w:pPr>
        <w:pStyle w:val="NormalWeb"/>
        <w:shd w:val="clear" w:color="auto" w:fill="FFFFFF"/>
        <w:spacing w:before="0" w:beforeAutospacing="0" w:after="403" w:afterAutospacing="0"/>
        <w:jc w:val="both"/>
        <w:rPr>
          <w:rFonts w:ascii="Verdana" w:hAnsi="Verdana"/>
          <w:color w:val="222222"/>
          <w:sz w:val="23"/>
          <w:szCs w:val="23"/>
        </w:rPr>
      </w:pPr>
      <w:r>
        <w:rPr>
          <w:rStyle w:val="Gl"/>
          <w:rFonts w:ascii="Verdana" w:hAnsi="Verdana"/>
          <w:color w:val="222222"/>
          <w:sz w:val="23"/>
          <w:szCs w:val="23"/>
        </w:rPr>
        <w:t>EKLER:</w:t>
      </w:r>
    </w:p>
    <w:p w:rsidR="00D742D0" w:rsidRDefault="004F27DB" w:rsidP="00485743">
      <w:pPr>
        <w:numPr>
          <w:ilvl w:val="0"/>
          <w:numId w:val="1"/>
        </w:numPr>
        <w:shd w:val="clear" w:color="auto" w:fill="FFFFFF"/>
        <w:spacing w:before="100" w:beforeAutospacing="1" w:after="155" w:line="240" w:lineRule="auto"/>
        <w:ind w:left="1045"/>
        <w:jc w:val="both"/>
        <w:rPr>
          <w:rFonts w:ascii="Verdana" w:hAnsi="Verdana"/>
          <w:color w:val="222222"/>
          <w:sz w:val="23"/>
          <w:szCs w:val="23"/>
        </w:rPr>
      </w:pPr>
      <w:hyperlink r:id="rId7" w:tgtFrame="_blank" w:history="1">
        <w:r w:rsidR="00D742D0">
          <w:rPr>
            <w:rStyle w:val="Kpr"/>
            <w:rFonts w:ascii="Verdana" w:hAnsi="Verdana"/>
            <w:color w:val="000000"/>
            <w:sz w:val="23"/>
            <w:szCs w:val="23"/>
          </w:rPr>
          <w:t>İllere Göre Türkiye’de Faal Durumda Olan Organize Sa</w:t>
        </w:r>
        <w:r w:rsidR="00485743">
          <w:rPr>
            <w:rStyle w:val="Kpr"/>
            <w:rFonts w:ascii="Verdana" w:hAnsi="Verdana"/>
            <w:color w:val="000000"/>
            <w:sz w:val="23"/>
            <w:szCs w:val="23"/>
          </w:rPr>
          <w:t>nayi Bölgelerinin Dağılımı (2022</w:t>
        </w:r>
        <w:r w:rsidR="00D742D0">
          <w:rPr>
            <w:rStyle w:val="Kpr"/>
            <w:rFonts w:ascii="Verdana" w:hAnsi="Verdana"/>
            <w:color w:val="000000"/>
            <w:sz w:val="23"/>
            <w:szCs w:val="23"/>
          </w:rPr>
          <w:t xml:space="preserve"> Yılı)</w:t>
        </w:r>
      </w:hyperlink>
    </w:p>
    <w:p w:rsidR="00D742D0" w:rsidRDefault="004F27DB" w:rsidP="00485743">
      <w:pPr>
        <w:numPr>
          <w:ilvl w:val="0"/>
          <w:numId w:val="1"/>
        </w:numPr>
        <w:shd w:val="clear" w:color="auto" w:fill="FFFFFF"/>
        <w:spacing w:before="100" w:beforeAutospacing="1" w:after="0" w:line="240" w:lineRule="auto"/>
        <w:ind w:left="1045"/>
        <w:jc w:val="both"/>
        <w:rPr>
          <w:rFonts w:ascii="Verdana" w:hAnsi="Verdana"/>
          <w:color w:val="222222"/>
          <w:sz w:val="23"/>
          <w:szCs w:val="23"/>
        </w:rPr>
      </w:pPr>
      <w:hyperlink r:id="rId8" w:tgtFrame="_blank" w:history="1">
        <w:r w:rsidR="00D742D0">
          <w:rPr>
            <w:rStyle w:val="Kpr"/>
            <w:rFonts w:ascii="Verdana" w:hAnsi="Verdana"/>
            <w:color w:val="000000"/>
            <w:sz w:val="23"/>
            <w:szCs w:val="23"/>
          </w:rPr>
          <w:t>İllere, Türlerine ve Fiili Durumlarına Göre Türkiye’de Organiz</w:t>
        </w:r>
        <w:r w:rsidR="00485743">
          <w:rPr>
            <w:rStyle w:val="Kpr"/>
            <w:rFonts w:ascii="Verdana" w:hAnsi="Verdana"/>
            <w:color w:val="000000"/>
            <w:sz w:val="23"/>
            <w:szCs w:val="23"/>
          </w:rPr>
          <w:t>e Sanayi Bölgeleri Listesi (2022</w:t>
        </w:r>
        <w:r w:rsidR="00D742D0">
          <w:rPr>
            <w:rStyle w:val="Kpr"/>
            <w:rFonts w:ascii="Verdana" w:hAnsi="Verdana"/>
            <w:color w:val="000000"/>
            <w:sz w:val="23"/>
            <w:szCs w:val="23"/>
          </w:rPr>
          <w:t xml:space="preserve"> Yılı)</w:t>
        </w:r>
      </w:hyperlink>
    </w:p>
    <w:p w:rsidR="001F701B" w:rsidRDefault="001F701B" w:rsidP="00485743">
      <w:pPr>
        <w:jc w:val="both"/>
      </w:pPr>
    </w:p>
    <w:sectPr w:rsidR="001F701B" w:rsidSect="001F7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94FAF"/>
    <w:multiLevelType w:val="multilevel"/>
    <w:tmpl w:val="E310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122BC"/>
    <w:rsid w:val="00196EDB"/>
    <w:rsid w:val="001F701B"/>
    <w:rsid w:val="00367F35"/>
    <w:rsid w:val="00485743"/>
    <w:rsid w:val="004F27DB"/>
    <w:rsid w:val="00714CD1"/>
    <w:rsid w:val="009122BC"/>
    <w:rsid w:val="00A84907"/>
    <w:rsid w:val="00D742D0"/>
    <w:rsid w:val="00DF21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1B"/>
  </w:style>
  <w:style w:type="paragraph" w:styleId="Balk1">
    <w:name w:val="heading 1"/>
    <w:basedOn w:val="Normal"/>
    <w:link w:val="Balk1Char"/>
    <w:uiPriority w:val="9"/>
    <w:qFormat/>
    <w:rsid w:val="00912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122B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22B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122BC"/>
    <w:rPr>
      <w:rFonts w:ascii="Times New Roman" w:eastAsia="Times New Roman" w:hAnsi="Times New Roman" w:cs="Times New Roman"/>
      <w:b/>
      <w:bCs/>
      <w:sz w:val="36"/>
      <w:szCs w:val="36"/>
      <w:lang w:eastAsia="tr-TR"/>
    </w:rPr>
  </w:style>
  <w:style w:type="character" w:customStyle="1" w:styleId="date-item">
    <w:name w:val="date-item"/>
    <w:basedOn w:val="VarsaylanParagrafYazTipi"/>
    <w:rsid w:val="009122BC"/>
  </w:style>
  <w:style w:type="paragraph" w:styleId="NormalWeb">
    <w:name w:val="Normal (Web)"/>
    <w:basedOn w:val="Normal"/>
    <w:uiPriority w:val="99"/>
    <w:semiHidden/>
    <w:unhideWhenUsed/>
    <w:rsid w:val="009122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122BC"/>
    <w:rPr>
      <w:color w:val="0000FF"/>
      <w:u w:val="single"/>
    </w:rPr>
  </w:style>
  <w:style w:type="character" w:styleId="Gl">
    <w:name w:val="Strong"/>
    <w:basedOn w:val="VarsaylanParagrafYazTipi"/>
    <w:uiPriority w:val="22"/>
    <w:qFormat/>
    <w:rsid w:val="009122BC"/>
    <w:rPr>
      <w:b/>
      <w:bCs/>
    </w:rPr>
  </w:style>
  <w:style w:type="paragraph" w:styleId="BalonMetni">
    <w:name w:val="Balloon Text"/>
    <w:basedOn w:val="Normal"/>
    <w:link w:val="BalonMetniChar"/>
    <w:uiPriority w:val="99"/>
    <w:semiHidden/>
    <w:unhideWhenUsed/>
    <w:rsid w:val="009122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749282">
      <w:bodyDiv w:val="1"/>
      <w:marLeft w:val="0"/>
      <w:marRight w:val="0"/>
      <w:marTop w:val="0"/>
      <w:marBottom w:val="0"/>
      <w:divBdr>
        <w:top w:val="none" w:sz="0" w:space="0" w:color="auto"/>
        <w:left w:val="none" w:sz="0" w:space="0" w:color="auto"/>
        <w:bottom w:val="none" w:sz="0" w:space="0" w:color="auto"/>
        <w:right w:val="none" w:sz="0" w:space="0" w:color="auto"/>
      </w:divBdr>
      <w:divsChild>
        <w:div w:id="1402407896">
          <w:marLeft w:val="0"/>
          <w:marRight w:val="0"/>
          <w:marTop w:val="0"/>
          <w:marBottom w:val="310"/>
          <w:divBdr>
            <w:top w:val="none" w:sz="0" w:space="0" w:color="auto"/>
            <w:left w:val="none" w:sz="0" w:space="0" w:color="auto"/>
            <w:bottom w:val="none" w:sz="0" w:space="0" w:color="auto"/>
            <w:right w:val="none" w:sz="0" w:space="0" w:color="auto"/>
          </w:divBdr>
          <w:divsChild>
            <w:div w:id="235818632">
              <w:marLeft w:val="0"/>
              <w:marRight w:val="0"/>
              <w:marTop w:val="124"/>
              <w:marBottom w:val="0"/>
              <w:divBdr>
                <w:top w:val="none" w:sz="0" w:space="0" w:color="auto"/>
                <w:left w:val="none" w:sz="0" w:space="0" w:color="auto"/>
                <w:bottom w:val="none" w:sz="0" w:space="0" w:color="auto"/>
                <w:right w:val="none" w:sz="0" w:space="0" w:color="auto"/>
              </w:divBdr>
            </w:div>
          </w:divsChild>
        </w:div>
        <w:div w:id="1447575274">
          <w:marLeft w:val="0"/>
          <w:marRight w:val="0"/>
          <w:marTop w:val="0"/>
          <w:marBottom w:val="0"/>
          <w:divBdr>
            <w:top w:val="none" w:sz="0" w:space="0" w:color="auto"/>
            <w:left w:val="none" w:sz="0" w:space="0" w:color="auto"/>
            <w:bottom w:val="none" w:sz="0" w:space="0" w:color="auto"/>
            <w:right w:val="none" w:sz="0" w:space="0" w:color="auto"/>
          </w:divBdr>
        </w:div>
      </w:divsChild>
    </w:div>
    <w:div w:id="2007319098">
      <w:bodyDiv w:val="1"/>
      <w:marLeft w:val="0"/>
      <w:marRight w:val="0"/>
      <w:marTop w:val="0"/>
      <w:marBottom w:val="0"/>
      <w:divBdr>
        <w:top w:val="none" w:sz="0" w:space="0" w:color="auto"/>
        <w:left w:val="none" w:sz="0" w:space="0" w:color="auto"/>
        <w:bottom w:val="none" w:sz="0" w:space="0" w:color="auto"/>
        <w:right w:val="none" w:sz="0" w:space="0" w:color="auto"/>
      </w:divBdr>
    </w:div>
    <w:div w:id="201229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datastats.com/illere-turlerine-ve-fiili-duurmlarina-gore-turkiyede-organize-sanayi-bolgeleri-listesi-2021-yili/" TargetMode="External"/><Relationship Id="rId3" Type="http://schemas.openxmlformats.org/officeDocument/2006/relationships/settings" Target="settings.xml"/><Relationship Id="rId7" Type="http://schemas.openxmlformats.org/officeDocument/2006/relationships/hyperlink" Target="https://www.drdatastats.com/illere-gore-turkiyede-faal-durumda-olan-organize-sanayi-bolgelerinin-dagilimi-2021-yi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onomi.haber7.com/" TargetMode="External"/><Relationship Id="rId5" Type="http://schemas.openxmlformats.org/officeDocument/2006/relationships/hyperlink" Target="https://www.haber7.com/gunc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2022-11-23T08:19:00Z</dcterms:created>
  <dcterms:modified xsi:type="dcterms:W3CDTF">2022-11-23T08:33:00Z</dcterms:modified>
</cp:coreProperties>
</file>