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A7B" w:rsidRPr="002E7A7B" w:rsidRDefault="002E7A7B" w:rsidP="002E7A7B">
      <w:pPr>
        <w:shd w:val="clear" w:color="auto" w:fill="FFFFFF"/>
        <w:spacing w:before="100" w:beforeAutospacing="1" w:after="100" w:afterAutospacing="1" w:line="356" w:lineRule="atLeast"/>
        <w:jc w:val="center"/>
        <w:outlineLvl w:val="0"/>
        <w:rPr>
          <w:rFonts w:ascii="Helvetica" w:eastAsia="Times New Roman" w:hAnsi="Helvetica" w:cs="Helvetica"/>
          <w:b/>
          <w:bCs/>
          <w:color w:val="333333"/>
          <w:kern w:val="36"/>
          <w:sz w:val="31"/>
          <w:szCs w:val="31"/>
          <w:lang w:eastAsia="tr-TR"/>
        </w:rPr>
      </w:pPr>
      <w:r w:rsidRPr="002E7A7B">
        <w:rPr>
          <w:rFonts w:ascii="Helvetica" w:eastAsia="Times New Roman" w:hAnsi="Helvetica" w:cs="Helvetica"/>
          <w:b/>
          <w:bCs/>
          <w:color w:val="333333"/>
          <w:kern w:val="36"/>
          <w:sz w:val="31"/>
          <w:szCs w:val="31"/>
          <w:lang w:eastAsia="tr-TR"/>
        </w:rPr>
        <w:t>261 ŞEREFİYE HESABI</w:t>
      </w:r>
    </w:p>
    <w:p w:rsidR="002E7A7B" w:rsidRPr="002E7A7B" w:rsidRDefault="002E7A7B" w:rsidP="002E7A7B">
      <w:pPr>
        <w:shd w:val="clear" w:color="auto" w:fill="FFFFFF"/>
        <w:spacing w:before="100" w:beforeAutospacing="1" w:after="100" w:afterAutospacing="1" w:line="356" w:lineRule="atLeast"/>
        <w:rPr>
          <w:rFonts w:ascii="Helvetica" w:eastAsia="Times New Roman" w:hAnsi="Helvetica" w:cs="Helvetica"/>
          <w:color w:val="333333"/>
          <w:sz w:val="28"/>
          <w:szCs w:val="28"/>
          <w:lang w:eastAsia="tr-TR"/>
        </w:rPr>
      </w:pPr>
      <w:r w:rsidRPr="002E7A7B">
        <w:rPr>
          <w:rFonts w:ascii="Helvetica" w:eastAsia="Times New Roman" w:hAnsi="Helvetica" w:cs="Helvetica"/>
          <w:b/>
          <w:bCs/>
          <w:color w:val="333333"/>
          <w:sz w:val="28"/>
          <w:szCs w:val="28"/>
          <w:lang w:eastAsia="tr-TR"/>
        </w:rPr>
        <w:t>261 Şerefiye Hesabı: </w:t>
      </w:r>
      <w:r w:rsidRPr="002E7A7B">
        <w:rPr>
          <w:rFonts w:ascii="Helvetica" w:eastAsia="Times New Roman" w:hAnsi="Helvetica" w:cs="Helvetica"/>
          <w:color w:val="333333"/>
          <w:sz w:val="28"/>
          <w:szCs w:val="28"/>
          <w:lang w:eastAsia="tr-TR"/>
        </w:rPr>
        <w:t xml:space="preserve">Bir kuruluş devralınırken katlanılan maliyet ile söz konusu işletmenin rayiç bedelle hesaplanan net varlıklarının değeri arasındaki olumlu farkların izlendiği </w:t>
      </w:r>
      <w:proofErr w:type="spellStart"/>
      <w:r w:rsidRPr="002E7A7B">
        <w:rPr>
          <w:rFonts w:ascii="Helvetica" w:eastAsia="Times New Roman" w:hAnsi="Helvetica" w:cs="Helvetica"/>
          <w:color w:val="333333"/>
          <w:sz w:val="28"/>
          <w:szCs w:val="28"/>
          <w:lang w:eastAsia="tr-TR"/>
        </w:rPr>
        <w:t>heaptır</w:t>
      </w:r>
      <w:proofErr w:type="spellEnd"/>
      <w:r w:rsidRPr="002E7A7B">
        <w:rPr>
          <w:rFonts w:ascii="Helvetica" w:eastAsia="Times New Roman" w:hAnsi="Helvetica" w:cs="Helvetica"/>
          <w:color w:val="333333"/>
          <w:sz w:val="28"/>
          <w:szCs w:val="28"/>
          <w:lang w:eastAsia="tr-TR"/>
        </w:rPr>
        <w:t>. Şerefiye hesaplanırken rayiç bedelin tespit edilmemesi halinde, net defter değeri esas alınır.</w:t>
      </w:r>
    </w:p>
    <w:p w:rsidR="002E7A7B" w:rsidRPr="002E7A7B" w:rsidRDefault="002E7A7B" w:rsidP="002E7A7B">
      <w:pPr>
        <w:shd w:val="clear" w:color="auto" w:fill="FFFFFF"/>
        <w:spacing w:before="100" w:beforeAutospacing="1" w:after="100" w:afterAutospacing="1" w:line="356" w:lineRule="atLeast"/>
        <w:rPr>
          <w:rFonts w:ascii="Helvetica" w:eastAsia="Times New Roman" w:hAnsi="Helvetica" w:cs="Helvetica"/>
          <w:color w:val="333333"/>
          <w:sz w:val="28"/>
          <w:szCs w:val="28"/>
          <w:lang w:eastAsia="tr-TR"/>
        </w:rPr>
      </w:pPr>
      <w:r w:rsidRPr="002E7A7B">
        <w:rPr>
          <w:rFonts w:ascii="Helvetica" w:eastAsia="Times New Roman" w:hAnsi="Helvetica" w:cs="Helvetica"/>
          <w:b/>
          <w:bCs/>
          <w:color w:val="333333"/>
          <w:sz w:val="28"/>
          <w:szCs w:val="28"/>
          <w:lang w:eastAsia="tr-TR"/>
        </w:rPr>
        <w:t>261 Şerefiye Hesabının İşleyişi: </w:t>
      </w:r>
      <w:r w:rsidRPr="002E7A7B">
        <w:rPr>
          <w:rFonts w:ascii="Helvetica" w:eastAsia="Times New Roman" w:hAnsi="Helvetica" w:cs="Helvetica"/>
          <w:color w:val="333333"/>
          <w:sz w:val="28"/>
          <w:szCs w:val="28"/>
          <w:lang w:eastAsia="tr-TR"/>
        </w:rPr>
        <w:t xml:space="preserve">Ödenen şerefiye bedellerinin tamamı bu hesabın borç tarafına kaydolunur. Yok edilmeleri ise </w:t>
      </w:r>
      <w:proofErr w:type="gramStart"/>
      <w:r w:rsidRPr="002E7A7B">
        <w:rPr>
          <w:rFonts w:ascii="Helvetica" w:eastAsia="Times New Roman" w:hAnsi="Helvetica" w:cs="Helvetica"/>
          <w:color w:val="333333"/>
          <w:sz w:val="28"/>
          <w:szCs w:val="28"/>
          <w:lang w:eastAsia="tr-TR"/>
        </w:rPr>
        <w:t>amortisman</w:t>
      </w:r>
      <w:proofErr w:type="gramEnd"/>
      <w:r w:rsidRPr="002E7A7B">
        <w:rPr>
          <w:rFonts w:ascii="Helvetica" w:eastAsia="Times New Roman" w:hAnsi="Helvetica" w:cs="Helvetica"/>
          <w:color w:val="333333"/>
          <w:sz w:val="28"/>
          <w:szCs w:val="28"/>
          <w:lang w:eastAsia="tr-TR"/>
        </w:rPr>
        <w:t xml:space="preserve"> yoluyla 5 yıl içinde eşit taksitlerle yapılır.</w:t>
      </w:r>
    </w:p>
    <w:p w:rsidR="002E7A7B" w:rsidRPr="002E7A7B" w:rsidRDefault="002E7A7B" w:rsidP="002E7A7B">
      <w:pPr>
        <w:shd w:val="clear" w:color="auto" w:fill="FFFFFF"/>
        <w:spacing w:before="100" w:beforeAutospacing="1" w:after="100" w:afterAutospacing="1" w:line="356" w:lineRule="atLeast"/>
        <w:rPr>
          <w:rFonts w:ascii="Helvetica" w:eastAsia="Times New Roman" w:hAnsi="Helvetica" w:cs="Helvetica"/>
          <w:color w:val="333333"/>
          <w:sz w:val="28"/>
          <w:szCs w:val="28"/>
          <w:lang w:eastAsia="tr-TR"/>
        </w:rPr>
      </w:pPr>
    </w:p>
    <w:tbl>
      <w:tblPr>
        <w:tblW w:w="3500" w:type="pct"/>
        <w:jc w:val="center"/>
        <w:tblCellSpacing w:w="0"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4A0"/>
      </w:tblPr>
      <w:tblGrid>
        <w:gridCol w:w="884"/>
        <w:gridCol w:w="2176"/>
        <w:gridCol w:w="2176"/>
        <w:gridCol w:w="1135"/>
      </w:tblGrid>
      <w:tr w:rsidR="002E7A7B" w:rsidRPr="002E7A7B" w:rsidTr="002E7A7B">
        <w:trPr>
          <w:trHeight w:val="255"/>
          <w:tblCellSpacing w:w="0" w:type="dxa"/>
          <w:jc w:val="center"/>
        </w:trPr>
        <w:tc>
          <w:tcPr>
            <w:tcW w:w="885" w:type="dxa"/>
            <w:tcBorders>
              <w:top w:val="outset" w:sz="6" w:space="0" w:color="999999"/>
              <w:left w:val="outset" w:sz="6" w:space="0" w:color="999999"/>
              <w:bottom w:val="outset" w:sz="6" w:space="0" w:color="999999"/>
              <w:right w:val="outset" w:sz="6" w:space="0" w:color="999999"/>
            </w:tcBorders>
            <w:vAlign w:val="center"/>
            <w:hideMark/>
          </w:tcPr>
          <w:p w:rsidR="002E7A7B" w:rsidRPr="002E7A7B" w:rsidRDefault="002E7A7B" w:rsidP="002E7A7B">
            <w:pPr>
              <w:spacing w:after="0" w:line="310" w:lineRule="atLeast"/>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BORÇ</w:t>
            </w:r>
          </w:p>
        </w:tc>
        <w:tc>
          <w:tcPr>
            <w:tcW w:w="0" w:type="auto"/>
            <w:gridSpan w:val="2"/>
            <w:tcBorders>
              <w:top w:val="outset" w:sz="6" w:space="0" w:color="999999"/>
              <w:left w:val="outset" w:sz="6" w:space="0" w:color="999999"/>
              <w:bottom w:val="outset" w:sz="6" w:space="0" w:color="999999"/>
              <w:right w:val="outset" w:sz="6" w:space="0" w:color="999999"/>
            </w:tcBorders>
            <w:vAlign w:val="center"/>
            <w:hideMark/>
          </w:tcPr>
          <w:p w:rsidR="002E7A7B" w:rsidRPr="002E7A7B" w:rsidRDefault="002E7A7B" w:rsidP="002E7A7B">
            <w:pPr>
              <w:spacing w:after="0"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261 ŞEREFİYE HESABI</w:t>
            </w:r>
          </w:p>
        </w:tc>
        <w:tc>
          <w:tcPr>
            <w:tcW w:w="1020" w:type="dxa"/>
            <w:tcBorders>
              <w:top w:val="outset" w:sz="6" w:space="0" w:color="999999"/>
              <w:left w:val="outset" w:sz="6" w:space="0" w:color="999999"/>
              <w:bottom w:val="outset" w:sz="6" w:space="0" w:color="999999"/>
              <w:right w:val="outset" w:sz="6" w:space="0" w:color="999999"/>
            </w:tcBorders>
            <w:vAlign w:val="center"/>
            <w:hideMark/>
          </w:tcPr>
          <w:p w:rsidR="002E7A7B" w:rsidRPr="002E7A7B" w:rsidRDefault="002E7A7B" w:rsidP="002E7A7B">
            <w:pPr>
              <w:spacing w:after="0" w:line="310" w:lineRule="atLeast"/>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ALACAK</w:t>
            </w:r>
          </w:p>
        </w:tc>
      </w:tr>
      <w:tr w:rsidR="002E7A7B" w:rsidRPr="002E7A7B" w:rsidTr="002E7A7B">
        <w:trPr>
          <w:trHeight w:val="1335"/>
          <w:tblCellSpacing w:w="0" w:type="dxa"/>
          <w:jc w:val="center"/>
        </w:trPr>
        <w:tc>
          <w:tcPr>
            <w:tcW w:w="0" w:type="auto"/>
            <w:gridSpan w:val="2"/>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w:t>
            </w:r>
          </w:p>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ARTIŞLAR</w:t>
            </w:r>
            <w:r w:rsidRPr="002E7A7B">
              <w:rPr>
                <w:rFonts w:ascii="Helvetica" w:eastAsia="Times New Roman" w:hAnsi="Helvetica" w:cs="Helvetica"/>
                <w:sz w:val="28"/>
                <w:szCs w:val="28"/>
                <w:lang w:eastAsia="tr-TR"/>
              </w:rPr>
              <w:br/>
              <w:t>(+)</w:t>
            </w:r>
          </w:p>
        </w:tc>
        <w:tc>
          <w:tcPr>
            <w:tcW w:w="0" w:type="auto"/>
            <w:gridSpan w:val="2"/>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w:t>
            </w:r>
          </w:p>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AZALIŞLAR</w:t>
            </w:r>
            <w:r w:rsidRPr="002E7A7B">
              <w:rPr>
                <w:rFonts w:ascii="Helvetica" w:eastAsia="Times New Roman" w:hAnsi="Helvetica" w:cs="Helvetica"/>
                <w:sz w:val="28"/>
                <w:szCs w:val="28"/>
                <w:lang w:eastAsia="tr-TR"/>
              </w:rPr>
              <w:br/>
              <w:t>(-)</w:t>
            </w:r>
          </w:p>
        </w:tc>
      </w:tr>
      <w:tr w:rsidR="002E7A7B" w:rsidRPr="002E7A7B" w:rsidTr="002E7A7B">
        <w:trPr>
          <w:tblCellSpacing w:w="0" w:type="dxa"/>
          <w:jc w:val="center"/>
        </w:trPr>
        <w:tc>
          <w:tcPr>
            <w:tcW w:w="0" w:type="auto"/>
            <w:gridSpan w:val="2"/>
            <w:tcBorders>
              <w:top w:val="outset" w:sz="6" w:space="0" w:color="999999"/>
              <w:left w:val="outset" w:sz="6" w:space="0" w:color="999999"/>
              <w:bottom w:val="outset" w:sz="6" w:space="0" w:color="999999"/>
              <w:right w:val="outset" w:sz="6" w:space="0" w:color="999999"/>
            </w:tcBorders>
            <w:vAlign w:val="center"/>
            <w:hideMark/>
          </w:tcPr>
          <w:p w:rsidR="002E7A7B" w:rsidRPr="002E7A7B" w:rsidRDefault="002E7A7B" w:rsidP="002E7A7B">
            <w:pPr>
              <w:spacing w:after="0"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w:t>
            </w:r>
          </w:p>
        </w:tc>
        <w:tc>
          <w:tcPr>
            <w:tcW w:w="0" w:type="auto"/>
            <w:gridSpan w:val="2"/>
            <w:tcBorders>
              <w:top w:val="outset" w:sz="6" w:space="0" w:color="999999"/>
              <w:left w:val="outset" w:sz="6" w:space="0" w:color="999999"/>
              <w:bottom w:val="outset" w:sz="6" w:space="0" w:color="999999"/>
              <w:right w:val="outset" w:sz="6" w:space="0" w:color="999999"/>
            </w:tcBorders>
            <w:vAlign w:val="center"/>
            <w:hideMark/>
          </w:tcPr>
          <w:p w:rsidR="002E7A7B" w:rsidRPr="002E7A7B" w:rsidRDefault="002E7A7B" w:rsidP="002E7A7B">
            <w:pPr>
              <w:spacing w:after="0"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w:t>
            </w:r>
          </w:p>
        </w:tc>
      </w:tr>
    </w:tbl>
    <w:p w:rsidR="002E7A7B" w:rsidRPr="002E7A7B" w:rsidRDefault="002E7A7B" w:rsidP="002E7A7B">
      <w:pPr>
        <w:shd w:val="clear" w:color="auto" w:fill="FFFFFF"/>
        <w:spacing w:before="100" w:beforeAutospacing="1" w:after="100" w:afterAutospacing="1" w:line="356" w:lineRule="atLeast"/>
        <w:rPr>
          <w:rFonts w:ascii="Helvetica" w:eastAsia="Times New Roman" w:hAnsi="Helvetica" w:cs="Helvetica"/>
          <w:color w:val="333333"/>
          <w:sz w:val="28"/>
          <w:szCs w:val="28"/>
          <w:lang w:eastAsia="tr-TR"/>
        </w:rPr>
      </w:pPr>
      <w:r w:rsidRPr="002E7A7B">
        <w:rPr>
          <w:rFonts w:ascii="Helvetica" w:eastAsia="Times New Roman" w:hAnsi="Helvetica" w:cs="Helvetica"/>
          <w:color w:val="333333"/>
          <w:sz w:val="28"/>
          <w:szCs w:val="28"/>
          <w:lang w:eastAsia="tr-TR"/>
        </w:rPr>
        <w:t> </w:t>
      </w:r>
    </w:p>
    <w:p w:rsidR="002E7A7B" w:rsidRPr="002E7A7B" w:rsidRDefault="002E7A7B" w:rsidP="002E7A7B">
      <w:pPr>
        <w:shd w:val="clear" w:color="auto" w:fill="FFFFFF"/>
        <w:spacing w:before="100" w:beforeAutospacing="1" w:after="100" w:afterAutospacing="1" w:line="356" w:lineRule="atLeast"/>
        <w:rPr>
          <w:rFonts w:ascii="Helvetica" w:eastAsia="Times New Roman" w:hAnsi="Helvetica" w:cs="Helvetica"/>
          <w:color w:val="333333"/>
          <w:sz w:val="28"/>
          <w:szCs w:val="28"/>
          <w:lang w:eastAsia="tr-TR"/>
        </w:rPr>
      </w:pPr>
      <w:r w:rsidRPr="002E7A7B">
        <w:rPr>
          <w:rFonts w:ascii="Helvetica" w:eastAsia="Times New Roman" w:hAnsi="Helvetica" w:cs="Helvetica"/>
          <w:color w:val="333333"/>
          <w:sz w:val="28"/>
          <w:szCs w:val="28"/>
          <w:lang w:eastAsia="tr-TR"/>
        </w:rPr>
        <w:t> </w:t>
      </w:r>
    </w:p>
    <w:p w:rsidR="002E7A7B" w:rsidRPr="002E7A7B" w:rsidRDefault="002E7A7B" w:rsidP="002E7A7B">
      <w:pPr>
        <w:shd w:val="clear" w:color="auto" w:fill="FFFFFF"/>
        <w:spacing w:before="100" w:beforeAutospacing="1" w:after="100" w:afterAutospacing="1" w:line="356" w:lineRule="atLeast"/>
        <w:rPr>
          <w:rFonts w:ascii="Helvetica" w:eastAsia="Times New Roman" w:hAnsi="Helvetica" w:cs="Helvetica"/>
          <w:color w:val="333333"/>
          <w:sz w:val="28"/>
          <w:szCs w:val="28"/>
          <w:lang w:eastAsia="tr-TR"/>
        </w:rPr>
      </w:pPr>
      <w:r w:rsidRPr="002E7A7B">
        <w:rPr>
          <w:rFonts w:ascii="Helvetica" w:eastAsia="Times New Roman" w:hAnsi="Helvetica" w:cs="Helvetica"/>
          <w:b/>
          <w:bCs/>
          <w:color w:val="333333"/>
          <w:sz w:val="28"/>
          <w:szCs w:val="28"/>
          <w:lang w:eastAsia="tr-TR"/>
        </w:rPr>
        <w:t>Örnek: </w:t>
      </w:r>
      <w:r w:rsidRPr="002E7A7B">
        <w:rPr>
          <w:rFonts w:ascii="Helvetica" w:eastAsia="Times New Roman" w:hAnsi="Helvetica" w:cs="Helvetica"/>
          <w:color w:val="333333"/>
          <w:sz w:val="28"/>
          <w:szCs w:val="28"/>
          <w:lang w:eastAsia="tr-TR"/>
        </w:rPr>
        <w:t>HG işletmesi diğer bir işletmeyi, 01.02.2016 tarihinde net defter değerinin üzerinde bir değer olan 200.000 TL ye aşağıdaki varlık ve borçları ile devralıyor.</w:t>
      </w:r>
    </w:p>
    <w:p w:rsidR="002E7A7B" w:rsidRPr="002E7A7B" w:rsidRDefault="002E7A7B" w:rsidP="002E7A7B">
      <w:pPr>
        <w:shd w:val="clear" w:color="auto" w:fill="FFFFFF"/>
        <w:spacing w:beforeAutospacing="1" w:after="100" w:afterAutospacing="1" w:line="356" w:lineRule="atLeast"/>
        <w:rPr>
          <w:rFonts w:ascii="Helvetica" w:eastAsia="Times New Roman" w:hAnsi="Helvetica" w:cs="Helvetica"/>
          <w:color w:val="333333"/>
          <w:sz w:val="28"/>
          <w:szCs w:val="28"/>
          <w:lang w:eastAsia="tr-TR"/>
        </w:rPr>
      </w:pPr>
      <w:r w:rsidRPr="002E7A7B">
        <w:rPr>
          <w:rFonts w:ascii="Helvetica" w:eastAsia="Times New Roman" w:hAnsi="Helvetica" w:cs="Helvetica"/>
          <w:color w:val="333333"/>
          <w:sz w:val="28"/>
          <w:szCs w:val="28"/>
          <w:lang w:eastAsia="tr-TR"/>
        </w:rPr>
        <w:t>Ticari Mallar: 150.000 TL</w:t>
      </w:r>
      <w:r w:rsidRPr="002E7A7B">
        <w:rPr>
          <w:rFonts w:ascii="Helvetica" w:eastAsia="Times New Roman" w:hAnsi="Helvetica" w:cs="Helvetica"/>
          <w:color w:val="333333"/>
          <w:sz w:val="28"/>
          <w:szCs w:val="28"/>
          <w:lang w:eastAsia="tr-TR"/>
        </w:rPr>
        <w:br/>
        <w:t>Taşıtlar: 120.000 TL</w:t>
      </w:r>
      <w:r w:rsidRPr="002E7A7B">
        <w:rPr>
          <w:rFonts w:ascii="Helvetica" w:eastAsia="Times New Roman" w:hAnsi="Helvetica" w:cs="Helvetica"/>
          <w:color w:val="333333"/>
          <w:sz w:val="28"/>
          <w:szCs w:val="28"/>
          <w:lang w:eastAsia="tr-TR"/>
        </w:rPr>
        <w:br/>
        <w:t>Satıcılar: 100.000 TL</w:t>
      </w:r>
    </w:p>
    <w:p w:rsidR="002E7A7B" w:rsidRPr="002E7A7B" w:rsidRDefault="002E7A7B" w:rsidP="002E7A7B">
      <w:pPr>
        <w:shd w:val="clear" w:color="auto" w:fill="FFFFFF"/>
        <w:spacing w:before="100" w:beforeAutospacing="1" w:after="100" w:afterAutospacing="1" w:line="356" w:lineRule="atLeast"/>
        <w:rPr>
          <w:rFonts w:ascii="Helvetica" w:eastAsia="Times New Roman" w:hAnsi="Helvetica" w:cs="Helvetica"/>
          <w:color w:val="333333"/>
          <w:sz w:val="28"/>
          <w:szCs w:val="28"/>
          <w:lang w:eastAsia="tr-TR"/>
        </w:rPr>
      </w:pPr>
      <w:r w:rsidRPr="002E7A7B">
        <w:rPr>
          <w:rFonts w:ascii="Helvetica" w:eastAsia="Times New Roman" w:hAnsi="Helvetica" w:cs="Helvetica"/>
          <w:color w:val="333333"/>
          <w:sz w:val="28"/>
          <w:szCs w:val="28"/>
          <w:lang w:eastAsia="tr-TR"/>
        </w:rPr>
        <w:t> </w:t>
      </w:r>
    </w:p>
    <w:p w:rsidR="002E7A7B" w:rsidRPr="002E7A7B" w:rsidRDefault="002E7A7B" w:rsidP="002E7A7B">
      <w:pPr>
        <w:shd w:val="clear" w:color="auto" w:fill="FFFFFF"/>
        <w:spacing w:before="100" w:beforeAutospacing="1" w:after="100" w:afterAutospacing="1" w:line="356" w:lineRule="atLeast"/>
        <w:rPr>
          <w:rFonts w:ascii="Helvetica" w:eastAsia="Times New Roman" w:hAnsi="Helvetica" w:cs="Helvetica"/>
          <w:color w:val="333333"/>
          <w:sz w:val="28"/>
          <w:szCs w:val="28"/>
          <w:lang w:eastAsia="tr-TR"/>
        </w:rPr>
      </w:pPr>
      <w:r w:rsidRPr="002E7A7B">
        <w:rPr>
          <w:rFonts w:ascii="Helvetica" w:eastAsia="Times New Roman" w:hAnsi="Helvetica" w:cs="Helvetica"/>
          <w:color w:val="333333"/>
          <w:sz w:val="28"/>
          <w:szCs w:val="28"/>
          <w:lang w:eastAsia="tr-TR"/>
        </w:rPr>
        <w:t>Devralınan işletmenin net defte</w:t>
      </w:r>
      <w:r>
        <w:rPr>
          <w:rFonts w:ascii="Helvetica" w:eastAsia="Times New Roman" w:hAnsi="Helvetica" w:cs="Helvetica"/>
          <w:color w:val="333333"/>
          <w:sz w:val="28"/>
          <w:szCs w:val="28"/>
          <w:lang w:eastAsia="tr-TR"/>
        </w:rPr>
        <w:t xml:space="preserve">r defterinin (öz varlık değeri) </w:t>
      </w:r>
      <w:r w:rsidRPr="002E7A7B">
        <w:rPr>
          <w:rFonts w:ascii="Helvetica" w:eastAsia="Times New Roman" w:hAnsi="Helvetica" w:cs="Helvetica"/>
          <w:color w:val="333333"/>
          <w:sz w:val="28"/>
          <w:szCs w:val="28"/>
          <w:lang w:eastAsia="tr-TR"/>
        </w:rPr>
        <w:t>hesaplanması:</w:t>
      </w:r>
    </w:p>
    <w:tbl>
      <w:tblPr>
        <w:tblW w:w="5000" w:type="pct"/>
        <w:jc w:val="center"/>
        <w:tblCellSpacing w:w="0"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4A0"/>
      </w:tblPr>
      <w:tblGrid>
        <w:gridCol w:w="3316"/>
        <w:gridCol w:w="2973"/>
        <w:gridCol w:w="2813"/>
      </w:tblGrid>
      <w:tr w:rsidR="002E7A7B" w:rsidRPr="002E7A7B" w:rsidTr="002E7A7B">
        <w:trPr>
          <w:tblCellSpacing w:w="0" w:type="dxa"/>
          <w:jc w:val="center"/>
        </w:trPr>
        <w:tc>
          <w:tcPr>
            <w:tcW w:w="3585"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b/>
                <w:bCs/>
                <w:sz w:val="28"/>
                <w:szCs w:val="28"/>
                <w:lang w:eastAsia="tr-TR"/>
              </w:rPr>
              <w:t>VARLIK TOPLAMI</w:t>
            </w:r>
          </w:p>
        </w:tc>
        <w:tc>
          <w:tcPr>
            <w:tcW w:w="3180"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b/>
                <w:bCs/>
                <w:sz w:val="28"/>
                <w:szCs w:val="28"/>
                <w:lang w:eastAsia="tr-TR"/>
              </w:rPr>
              <w:t>BORÇLAR TOPLAMI</w:t>
            </w:r>
          </w:p>
        </w:tc>
        <w:tc>
          <w:tcPr>
            <w:tcW w:w="3015"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b/>
                <w:bCs/>
                <w:sz w:val="28"/>
                <w:szCs w:val="28"/>
                <w:lang w:eastAsia="tr-TR"/>
              </w:rPr>
              <w:t>FARK TUTARI</w:t>
            </w:r>
          </w:p>
        </w:tc>
      </w:tr>
      <w:tr w:rsidR="002E7A7B" w:rsidRPr="002E7A7B" w:rsidTr="002E7A7B">
        <w:trPr>
          <w:tblCellSpacing w:w="0" w:type="dxa"/>
          <w:jc w:val="center"/>
        </w:trPr>
        <w:tc>
          <w:tcPr>
            <w:tcW w:w="3585"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Ticari Mallar: 150.000</w:t>
            </w:r>
          </w:p>
        </w:tc>
        <w:tc>
          <w:tcPr>
            <w:tcW w:w="3180"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Satıcılar: 1000.000</w:t>
            </w:r>
          </w:p>
        </w:tc>
        <w:tc>
          <w:tcPr>
            <w:tcW w:w="3015"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w:t>
            </w:r>
          </w:p>
        </w:tc>
      </w:tr>
      <w:tr w:rsidR="002E7A7B" w:rsidRPr="002E7A7B" w:rsidTr="002E7A7B">
        <w:trPr>
          <w:tblCellSpacing w:w="0" w:type="dxa"/>
          <w:jc w:val="center"/>
        </w:trPr>
        <w:tc>
          <w:tcPr>
            <w:tcW w:w="3585"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Taşıtlar: 120.000</w:t>
            </w:r>
          </w:p>
        </w:tc>
        <w:tc>
          <w:tcPr>
            <w:tcW w:w="3180"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w:t>
            </w:r>
          </w:p>
        </w:tc>
        <w:tc>
          <w:tcPr>
            <w:tcW w:w="3015"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w:t>
            </w:r>
          </w:p>
        </w:tc>
      </w:tr>
      <w:tr w:rsidR="002E7A7B" w:rsidRPr="002E7A7B" w:rsidTr="002E7A7B">
        <w:trPr>
          <w:tblCellSpacing w:w="0" w:type="dxa"/>
          <w:jc w:val="center"/>
        </w:trPr>
        <w:tc>
          <w:tcPr>
            <w:tcW w:w="3585"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b/>
                <w:bCs/>
                <w:sz w:val="28"/>
                <w:szCs w:val="28"/>
                <w:lang w:eastAsia="tr-TR"/>
              </w:rPr>
              <w:t>TOPLAM: 270.000</w:t>
            </w:r>
          </w:p>
        </w:tc>
        <w:tc>
          <w:tcPr>
            <w:tcW w:w="3180"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b/>
                <w:bCs/>
                <w:sz w:val="28"/>
                <w:szCs w:val="28"/>
                <w:lang w:eastAsia="tr-TR"/>
              </w:rPr>
              <w:t>TOPLAM: 100.000</w:t>
            </w:r>
          </w:p>
        </w:tc>
        <w:tc>
          <w:tcPr>
            <w:tcW w:w="3015"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b/>
                <w:bCs/>
                <w:sz w:val="28"/>
                <w:szCs w:val="28"/>
                <w:lang w:eastAsia="tr-TR"/>
              </w:rPr>
              <w:t>TOPLAM: 170.000</w:t>
            </w:r>
          </w:p>
        </w:tc>
      </w:tr>
    </w:tbl>
    <w:p w:rsidR="002E7A7B" w:rsidRPr="002E7A7B" w:rsidRDefault="002E7A7B" w:rsidP="002E7A7B">
      <w:pPr>
        <w:shd w:val="clear" w:color="auto" w:fill="FFFFFF"/>
        <w:spacing w:before="100" w:beforeAutospacing="1" w:after="100" w:afterAutospacing="1" w:line="356" w:lineRule="atLeast"/>
        <w:rPr>
          <w:rFonts w:ascii="Helvetica" w:eastAsia="Times New Roman" w:hAnsi="Helvetica" w:cs="Helvetica"/>
          <w:color w:val="333333"/>
          <w:sz w:val="28"/>
          <w:szCs w:val="28"/>
          <w:lang w:eastAsia="tr-TR"/>
        </w:rPr>
      </w:pPr>
      <w:r w:rsidRPr="002E7A7B">
        <w:rPr>
          <w:rFonts w:ascii="Helvetica" w:eastAsia="Times New Roman" w:hAnsi="Helvetica" w:cs="Helvetica"/>
          <w:color w:val="333333"/>
          <w:sz w:val="28"/>
          <w:szCs w:val="28"/>
          <w:lang w:eastAsia="tr-TR"/>
        </w:rPr>
        <w:lastRenderedPageBreak/>
        <w:t xml:space="preserve">İşletmenin net defter değeri 170.000 TL </w:t>
      </w:r>
      <w:proofErr w:type="spellStart"/>
      <w:r w:rsidRPr="002E7A7B">
        <w:rPr>
          <w:rFonts w:ascii="Helvetica" w:eastAsia="Times New Roman" w:hAnsi="Helvetica" w:cs="Helvetica"/>
          <w:color w:val="333333"/>
          <w:sz w:val="28"/>
          <w:szCs w:val="28"/>
          <w:lang w:eastAsia="tr-TR"/>
        </w:rPr>
        <w:t>dir</w:t>
      </w:r>
      <w:proofErr w:type="spellEnd"/>
      <w:r w:rsidRPr="002E7A7B">
        <w:rPr>
          <w:rFonts w:ascii="Helvetica" w:eastAsia="Times New Roman" w:hAnsi="Helvetica" w:cs="Helvetica"/>
          <w:color w:val="333333"/>
          <w:sz w:val="28"/>
          <w:szCs w:val="28"/>
          <w:lang w:eastAsia="tr-TR"/>
        </w:rPr>
        <w:t>, defter değerinin üzerinde bir tutar olan 200.000 TL ye alındığına göre aradaki fark </w:t>
      </w:r>
      <w:r w:rsidRPr="002E7A7B">
        <w:rPr>
          <w:rFonts w:ascii="Helvetica" w:eastAsia="Times New Roman" w:hAnsi="Helvetica" w:cs="Helvetica"/>
          <w:b/>
          <w:bCs/>
          <w:color w:val="333333"/>
          <w:sz w:val="28"/>
          <w:szCs w:val="28"/>
          <w:lang w:eastAsia="tr-TR"/>
        </w:rPr>
        <w:t>Şerefiye </w:t>
      </w:r>
      <w:r w:rsidRPr="002E7A7B">
        <w:rPr>
          <w:rFonts w:ascii="Helvetica" w:eastAsia="Times New Roman" w:hAnsi="Helvetica" w:cs="Helvetica"/>
          <w:color w:val="333333"/>
          <w:sz w:val="28"/>
          <w:szCs w:val="28"/>
          <w:lang w:eastAsia="tr-TR"/>
        </w:rPr>
        <w:t xml:space="preserve">olarak isimlendirilir. </w:t>
      </w:r>
      <w:proofErr w:type="spellStart"/>
      <w:r w:rsidRPr="002E7A7B">
        <w:rPr>
          <w:rFonts w:ascii="Helvetica" w:eastAsia="Times New Roman" w:hAnsi="Helvetica" w:cs="Helvetica"/>
          <w:color w:val="333333"/>
          <w:sz w:val="28"/>
          <w:szCs w:val="28"/>
          <w:lang w:eastAsia="tr-TR"/>
        </w:rPr>
        <w:t>Şerfiye</w:t>
      </w:r>
      <w:proofErr w:type="spellEnd"/>
      <w:r w:rsidRPr="002E7A7B">
        <w:rPr>
          <w:rFonts w:ascii="Helvetica" w:eastAsia="Times New Roman" w:hAnsi="Helvetica" w:cs="Helvetica"/>
          <w:color w:val="333333"/>
          <w:sz w:val="28"/>
          <w:szCs w:val="28"/>
          <w:lang w:eastAsia="tr-TR"/>
        </w:rPr>
        <w:t xml:space="preserve"> tutarı da 200.000 –170.000 = </w:t>
      </w:r>
      <w:r w:rsidRPr="002E7A7B">
        <w:rPr>
          <w:rFonts w:ascii="Helvetica" w:eastAsia="Times New Roman" w:hAnsi="Helvetica" w:cs="Helvetica"/>
          <w:b/>
          <w:bCs/>
          <w:color w:val="333333"/>
          <w:sz w:val="28"/>
          <w:szCs w:val="28"/>
          <w:lang w:eastAsia="tr-TR"/>
        </w:rPr>
        <w:t>30.000 TL</w:t>
      </w:r>
      <w:r w:rsidRPr="002E7A7B">
        <w:rPr>
          <w:rFonts w:ascii="Helvetica" w:eastAsia="Times New Roman" w:hAnsi="Helvetica" w:cs="Helvetica"/>
          <w:color w:val="333333"/>
          <w:sz w:val="28"/>
          <w:szCs w:val="28"/>
          <w:lang w:eastAsia="tr-TR"/>
        </w:rPr>
        <w:t> olacaktır.</w:t>
      </w:r>
    </w:p>
    <w:p w:rsidR="002E7A7B" w:rsidRPr="002E7A7B" w:rsidRDefault="002E7A7B" w:rsidP="002E7A7B">
      <w:pPr>
        <w:shd w:val="clear" w:color="auto" w:fill="FFFFFF"/>
        <w:spacing w:before="100" w:beforeAutospacing="1" w:after="100" w:afterAutospacing="1" w:line="356" w:lineRule="atLeast"/>
        <w:rPr>
          <w:rFonts w:ascii="Helvetica" w:eastAsia="Times New Roman" w:hAnsi="Helvetica" w:cs="Helvetica"/>
          <w:color w:val="333333"/>
          <w:sz w:val="28"/>
          <w:szCs w:val="28"/>
          <w:lang w:eastAsia="tr-TR"/>
        </w:rPr>
      </w:pPr>
      <w:r w:rsidRPr="002E7A7B">
        <w:rPr>
          <w:rFonts w:ascii="Helvetica" w:eastAsia="Times New Roman" w:hAnsi="Helvetica" w:cs="Helvetica"/>
          <w:color w:val="333333"/>
          <w:sz w:val="28"/>
          <w:szCs w:val="28"/>
          <w:lang w:eastAsia="tr-TR"/>
        </w:rPr>
        <w:t> </w:t>
      </w:r>
    </w:p>
    <w:tbl>
      <w:tblPr>
        <w:tblW w:w="4500" w:type="pct"/>
        <w:jc w:val="center"/>
        <w:tblCellSpacing w:w="0"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4A0"/>
      </w:tblPr>
      <w:tblGrid>
        <w:gridCol w:w="656"/>
        <w:gridCol w:w="4522"/>
        <w:gridCol w:w="1507"/>
        <w:gridCol w:w="1507"/>
      </w:tblGrid>
      <w:tr w:rsidR="002E7A7B" w:rsidRPr="002E7A7B" w:rsidTr="002E7A7B">
        <w:trPr>
          <w:trHeight w:val="525"/>
          <w:tblCellSpacing w:w="0" w:type="dxa"/>
          <w:jc w:val="center"/>
        </w:trPr>
        <w:tc>
          <w:tcPr>
            <w:tcW w:w="525" w:type="dxa"/>
            <w:tcBorders>
              <w:top w:val="outset" w:sz="6" w:space="0" w:color="999999"/>
              <w:left w:val="outset" w:sz="6" w:space="0" w:color="999999"/>
              <w:bottom w:val="outset" w:sz="6" w:space="0" w:color="999999"/>
              <w:right w:val="outset" w:sz="6" w:space="0" w:color="999999"/>
            </w:tcBorders>
            <w:vAlign w:val="center"/>
            <w:hideMark/>
          </w:tcPr>
          <w:p w:rsidR="002E7A7B" w:rsidRPr="002E7A7B" w:rsidRDefault="002E7A7B" w:rsidP="002E7A7B">
            <w:pPr>
              <w:spacing w:after="0"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Mad. No</w:t>
            </w:r>
          </w:p>
        </w:tc>
        <w:tc>
          <w:tcPr>
            <w:tcW w:w="4500" w:type="dxa"/>
            <w:tcBorders>
              <w:top w:val="outset" w:sz="6" w:space="0" w:color="999999"/>
              <w:left w:val="outset" w:sz="6" w:space="0" w:color="999999"/>
              <w:bottom w:val="outset" w:sz="6" w:space="0" w:color="999999"/>
              <w:right w:val="outset" w:sz="6" w:space="0" w:color="999999"/>
            </w:tcBorders>
            <w:vAlign w:val="center"/>
            <w:hideMark/>
          </w:tcPr>
          <w:p w:rsidR="002E7A7B" w:rsidRPr="002E7A7B" w:rsidRDefault="002E7A7B" w:rsidP="002E7A7B">
            <w:pPr>
              <w:spacing w:after="0"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b/>
                <w:bCs/>
                <w:sz w:val="28"/>
                <w:szCs w:val="28"/>
                <w:lang w:eastAsia="tr-TR"/>
              </w:rPr>
              <w:t>AÇIKLAMA</w:t>
            </w:r>
          </w:p>
        </w:tc>
        <w:tc>
          <w:tcPr>
            <w:tcW w:w="1500" w:type="dxa"/>
            <w:tcBorders>
              <w:top w:val="outset" w:sz="6" w:space="0" w:color="999999"/>
              <w:left w:val="outset" w:sz="6" w:space="0" w:color="999999"/>
              <w:bottom w:val="outset" w:sz="6" w:space="0" w:color="999999"/>
              <w:right w:val="outset" w:sz="6" w:space="0" w:color="999999"/>
            </w:tcBorders>
            <w:vAlign w:val="center"/>
            <w:hideMark/>
          </w:tcPr>
          <w:p w:rsidR="002E7A7B" w:rsidRPr="002E7A7B" w:rsidRDefault="002E7A7B" w:rsidP="002E7A7B">
            <w:pPr>
              <w:spacing w:after="0"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b/>
                <w:bCs/>
                <w:sz w:val="28"/>
                <w:szCs w:val="28"/>
                <w:lang w:eastAsia="tr-TR"/>
              </w:rPr>
              <w:t>BORÇ</w:t>
            </w:r>
          </w:p>
        </w:tc>
        <w:tc>
          <w:tcPr>
            <w:tcW w:w="1500" w:type="dxa"/>
            <w:tcBorders>
              <w:top w:val="outset" w:sz="6" w:space="0" w:color="999999"/>
              <w:left w:val="outset" w:sz="6" w:space="0" w:color="999999"/>
              <w:bottom w:val="outset" w:sz="6" w:space="0" w:color="999999"/>
              <w:right w:val="outset" w:sz="6" w:space="0" w:color="999999"/>
            </w:tcBorders>
            <w:vAlign w:val="center"/>
            <w:hideMark/>
          </w:tcPr>
          <w:p w:rsidR="002E7A7B" w:rsidRPr="002E7A7B" w:rsidRDefault="002E7A7B" w:rsidP="002E7A7B">
            <w:pPr>
              <w:spacing w:after="0"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b/>
                <w:bCs/>
                <w:sz w:val="28"/>
                <w:szCs w:val="28"/>
                <w:lang w:eastAsia="tr-TR"/>
              </w:rPr>
              <w:t>ALACAK</w:t>
            </w:r>
          </w:p>
        </w:tc>
      </w:tr>
      <w:tr w:rsidR="002E7A7B" w:rsidRPr="002E7A7B" w:rsidTr="002E7A7B">
        <w:trPr>
          <w:trHeight w:val="900"/>
          <w:tblCellSpacing w:w="0" w:type="dxa"/>
          <w:jc w:val="center"/>
        </w:trPr>
        <w:tc>
          <w:tcPr>
            <w:tcW w:w="525"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after="0"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1</w:t>
            </w:r>
          </w:p>
        </w:tc>
        <w:tc>
          <w:tcPr>
            <w:tcW w:w="4500"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01.02.2016</w:t>
            </w:r>
          </w:p>
          <w:p w:rsidR="002E7A7B" w:rsidRPr="002E7A7B" w:rsidRDefault="002E7A7B" w:rsidP="002E7A7B">
            <w:pPr>
              <w:spacing w:before="100" w:beforeAutospacing="1" w:after="100" w:afterAutospacing="1" w:line="310" w:lineRule="atLeast"/>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153 Ticari Mallar Hesabı</w:t>
            </w:r>
            <w:r w:rsidRPr="002E7A7B">
              <w:rPr>
                <w:rFonts w:ascii="Helvetica" w:eastAsia="Times New Roman" w:hAnsi="Helvetica" w:cs="Helvetica"/>
                <w:sz w:val="28"/>
                <w:szCs w:val="28"/>
                <w:lang w:eastAsia="tr-TR"/>
              </w:rPr>
              <w:br/>
              <w:t>254 Taşıtlar Hesabı</w:t>
            </w:r>
            <w:r w:rsidRPr="002E7A7B">
              <w:rPr>
                <w:rFonts w:ascii="Helvetica" w:eastAsia="Times New Roman" w:hAnsi="Helvetica" w:cs="Helvetica"/>
                <w:sz w:val="28"/>
                <w:szCs w:val="28"/>
                <w:lang w:eastAsia="tr-TR"/>
              </w:rPr>
              <w:br/>
              <w:t>261 Şerefiye Hesabı</w:t>
            </w:r>
          </w:p>
          <w:p w:rsidR="002E7A7B" w:rsidRPr="002E7A7B" w:rsidRDefault="002E7A7B" w:rsidP="002E7A7B">
            <w:pPr>
              <w:spacing w:before="100" w:beforeAutospacing="1" w:after="100" w:afterAutospacing="1" w:line="310" w:lineRule="atLeast"/>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320 Satıcılar Hesabı</w:t>
            </w:r>
            <w:r w:rsidRPr="002E7A7B">
              <w:rPr>
                <w:rFonts w:ascii="Helvetica" w:eastAsia="Times New Roman" w:hAnsi="Helvetica" w:cs="Helvetica"/>
                <w:sz w:val="28"/>
                <w:szCs w:val="28"/>
                <w:lang w:eastAsia="tr-TR"/>
              </w:rPr>
              <w:br/>
              <w:t>500 Sermaye Hesabı</w:t>
            </w:r>
          </w:p>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İşletmenin devralınması ve şerefiye kaydı</w:t>
            </w:r>
          </w:p>
        </w:tc>
        <w:tc>
          <w:tcPr>
            <w:tcW w:w="1500"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w:t>
            </w:r>
          </w:p>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150.000</w:t>
            </w:r>
            <w:r w:rsidRPr="002E7A7B">
              <w:rPr>
                <w:rFonts w:ascii="Helvetica" w:eastAsia="Times New Roman" w:hAnsi="Helvetica" w:cs="Helvetica"/>
                <w:sz w:val="28"/>
                <w:szCs w:val="28"/>
                <w:lang w:eastAsia="tr-TR"/>
              </w:rPr>
              <w:br/>
              <w:t>120.000</w:t>
            </w:r>
            <w:r w:rsidRPr="002E7A7B">
              <w:rPr>
                <w:rFonts w:ascii="Helvetica" w:eastAsia="Times New Roman" w:hAnsi="Helvetica" w:cs="Helvetica"/>
                <w:sz w:val="28"/>
                <w:szCs w:val="28"/>
                <w:lang w:eastAsia="tr-TR"/>
              </w:rPr>
              <w:br/>
              <w:t>30.000</w:t>
            </w:r>
          </w:p>
        </w:tc>
        <w:tc>
          <w:tcPr>
            <w:tcW w:w="1500"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w:t>
            </w:r>
          </w:p>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w:t>
            </w:r>
          </w:p>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br/>
            </w:r>
            <w:r w:rsidRPr="002E7A7B">
              <w:rPr>
                <w:rFonts w:ascii="Helvetica" w:eastAsia="Times New Roman" w:hAnsi="Helvetica" w:cs="Helvetica"/>
                <w:sz w:val="28"/>
                <w:szCs w:val="28"/>
                <w:lang w:eastAsia="tr-TR"/>
              </w:rPr>
              <w:br/>
              <w:t>100.000</w:t>
            </w:r>
            <w:r w:rsidRPr="002E7A7B">
              <w:rPr>
                <w:rFonts w:ascii="Helvetica" w:eastAsia="Times New Roman" w:hAnsi="Helvetica" w:cs="Helvetica"/>
                <w:sz w:val="28"/>
                <w:szCs w:val="28"/>
                <w:lang w:eastAsia="tr-TR"/>
              </w:rPr>
              <w:br/>
              <w:t>200.000</w:t>
            </w:r>
          </w:p>
        </w:tc>
      </w:tr>
    </w:tbl>
    <w:p w:rsidR="002E7A7B" w:rsidRPr="002E7A7B" w:rsidRDefault="002E7A7B" w:rsidP="002E7A7B">
      <w:pPr>
        <w:shd w:val="clear" w:color="auto" w:fill="FFFFFF"/>
        <w:spacing w:before="100" w:beforeAutospacing="1" w:after="100" w:afterAutospacing="1" w:line="356" w:lineRule="atLeast"/>
        <w:rPr>
          <w:rFonts w:ascii="Helvetica" w:eastAsia="Times New Roman" w:hAnsi="Helvetica" w:cs="Helvetica"/>
          <w:color w:val="333333"/>
          <w:sz w:val="28"/>
          <w:szCs w:val="28"/>
          <w:lang w:eastAsia="tr-TR"/>
        </w:rPr>
      </w:pPr>
      <w:r w:rsidRPr="002E7A7B">
        <w:rPr>
          <w:rFonts w:ascii="Helvetica" w:eastAsia="Times New Roman" w:hAnsi="Helvetica" w:cs="Helvetica"/>
          <w:color w:val="333333"/>
          <w:sz w:val="28"/>
          <w:szCs w:val="28"/>
          <w:lang w:eastAsia="tr-TR"/>
        </w:rPr>
        <w:br/>
        <w:t xml:space="preserve">Dönem sonunda şerefiye için </w:t>
      </w:r>
      <w:proofErr w:type="gramStart"/>
      <w:r w:rsidRPr="002E7A7B">
        <w:rPr>
          <w:rFonts w:ascii="Helvetica" w:eastAsia="Times New Roman" w:hAnsi="Helvetica" w:cs="Helvetica"/>
          <w:color w:val="333333"/>
          <w:sz w:val="28"/>
          <w:szCs w:val="28"/>
          <w:lang w:eastAsia="tr-TR"/>
        </w:rPr>
        <w:t>amortisman</w:t>
      </w:r>
      <w:proofErr w:type="gramEnd"/>
      <w:r w:rsidRPr="002E7A7B">
        <w:rPr>
          <w:rFonts w:ascii="Helvetica" w:eastAsia="Times New Roman" w:hAnsi="Helvetica" w:cs="Helvetica"/>
          <w:color w:val="333333"/>
          <w:sz w:val="28"/>
          <w:szCs w:val="28"/>
          <w:lang w:eastAsia="tr-TR"/>
        </w:rPr>
        <w:t xml:space="preserve"> kaydı yapılır. 30.000 / 5 = 6.000 TL</w:t>
      </w:r>
    </w:p>
    <w:tbl>
      <w:tblPr>
        <w:tblW w:w="4500" w:type="pct"/>
        <w:jc w:val="center"/>
        <w:tblCellSpacing w:w="0"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4A0"/>
      </w:tblPr>
      <w:tblGrid>
        <w:gridCol w:w="536"/>
        <w:gridCol w:w="4594"/>
        <w:gridCol w:w="1531"/>
        <w:gridCol w:w="1531"/>
      </w:tblGrid>
      <w:tr w:rsidR="002E7A7B" w:rsidRPr="002E7A7B" w:rsidTr="002E7A7B">
        <w:trPr>
          <w:trHeight w:val="900"/>
          <w:tblCellSpacing w:w="0" w:type="dxa"/>
          <w:jc w:val="center"/>
        </w:trPr>
        <w:tc>
          <w:tcPr>
            <w:tcW w:w="525"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after="0"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2</w:t>
            </w:r>
          </w:p>
        </w:tc>
        <w:tc>
          <w:tcPr>
            <w:tcW w:w="4500"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31.12.2016</w:t>
            </w:r>
          </w:p>
          <w:p w:rsidR="002E7A7B" w:rsidRPr="002E7A7B" w:rsidRDefault="002E7A7B" w:rsidP="002E7A7B">
            <w:pPr>
              <w:spacing w:before="100" w:beforeAutospacing="1" w:after="100" w:afterAutospacing="1" w:line="310" w:lineRule="atLeast"/>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770 Genel Yönetim Gideri Hesabı</w:t>
            </w:r>
          </w:p>
          <w:p w:rsidR="002E7A7B" w:rsidRPr="002E7A7B" w:rsidRDefault="002E7A7B" w:rsidP="002E7A7B">
            <w:pPr>
              <w:spacing w:before="100" w:beforeAutospacing="1" w:after="100" w:afterAutospacing="1" w:line="310" w:lineRule="atLeast"/>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xml:space="preserve">268 Birikmiş </w:t>
            </w:r>
            <w:proofErr w:type="spellStart"/>
            <w:r w:rsidRPr="002E7A7B">
              <w:rPr>
                <w:rFonts w:ascii="Helvetica" w:eastAsia="Times New Roman" w:hAnsi="Helvetica" w:cs="Helvetica"/>
                <w:sz w:val="28"/>
                <w:szCs w:val="28"/>
                <w:lang w:eastAsia="tr-TR"/>
              </w:rPr>
              <w:t>Amortsimanlar</w:t>
            </w:r>
            <w:proofErr w:type="spellEnd"/>
            <w:r w:rsidRPr="002E7A7B">
              <w:rPr>
                <w:rFonts w:ascii="Helvetica" w:eastAsia="Times New Roman" w:hAnsi="Helvetica" w:cs="Helvetica"/>
                <w:sz w:val="28"/>
                <w:szCs w:val="28"/>
                <w:lang w:eastAsia="tr-TR"/>
              </w:rPr>
              <w:t xml:space="preserve"> Hesabı</w:t>
            </w:r>
          </w:p>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xml:space="preserve">Şerefiye için ayrılan </w:t>
            </w:r>
            <w:proofErr w:type="spellStart"/>
            <w:r w:rsidRPr="002E7A7B">
              <w:rPr>
                <w:rFonts w:ascii="Helvetica" w:eastAsia="Times New Roman" w:hAnsi="Helvetica" w:cs="Helvetica"/>
                <w:sz w:val="28"/>
                <w:szCs w:val="28"/>
                <w:lang w:eastAsia="tr-TR"/>
              </w:rPr>
              <w:t>amortsiman</w:t>
            </w:r>
            <w:proofErr w:type="spellEnd"/>
          </w:p>
        </w:tc>
        <w:tc>
          <w:tcPr>
            <w:tcW w:w="1500"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w:t>
            </w:r>
          </w:p>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6.000</w:t>
            </w:r>
          </w:p>
        </w:tc>
        <w:tc>
          <w:tcPr>
            <w:tcW w:w="1500" w:type="dxa"/>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w:t>
            </w:r>
          </w:p>
          <w:p w:rsidR="002E7A7B" w:rsidRPr="002E7A7B" w:rsidRDefault="002E7A7B" w:rsidP="002E7A7B">
            <w:pPr>
              <w:spacing w:before="100" w:beforeAutospacing="1" w:after="100" w:afterAutospacing="1" w:line="310" w:lineRule="atLeast"/>
              <w:jc w:val="center"/>
              <w:rPr>
                <w:rFonts w:ascii="Helvetica" w:eastAsia="Times New Roman" w:hAnsi="Helvetica" w:cs="Helvetica"/>
                <w:sz w:val="28"/>
                <w:szCs w:val="28"/>
                <w:lang w:eastAsia="tr-TR"/>
              </w:rPr>
            </w:pPr>
          </w:p>
          <w:p w:rsidR="002E7A7B" w:rsidRPr="002E7A7B" w:rsidRDefault="002E7A7B" w:rsidP="002E7A7B">
            <w:pPr>
              <w:spacing w:before="100" w:beforeAutospacing="1" w:after="240"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6.000</w:t>
            </w:r>
          </w:p>
        </w:tc>
      </w:tr>
    </w:tbl>
    <w:p w:rsidR="002E7A7B" w:rsidRPr="002E7A7B" w:rsidRDefault="002E7A7B" w:rsidP="002E7A7B">
      <w:pPr>
        <w:shd w:val="clear" w:color="auto" w:fill="FFFFFF"/>
        <w:spacing w:before="100" w:beforeAutospacing="1" w:after="100" w:afterAutospacing="1" w:line="356" w:lineRule="atLeast"/>
        <w:rPr>
          <w:rFonts w:ascii="Helvetica" w:eastAsia="Times New Roman" w:hAnsi="Helvetica" w:cs="Helvetica"/>
          <w:color w:val="333333"/>
          <w:sz w:val="28"/>
          <w:szCs w:val="28"/>
          <w:lang w:eastAsia="tr-TR"/>
        </w:rPr>
      </w:pPr>
    </w:p>
    <w:tbl>
      <w:tblPr>
        <w:tblW w:w="3500" w:type="pct"/>
        <w:jc w:val="center"/>
        <w:tblCellSpacing w:w="0"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4A0"/>
      </w:tblPr>
      <w:tblGrid>
        <w:gridCol w:w="839"/>
        <w:gridCol w:w="2198"/>
        <w:gridCol w:w="2199"/>
        <w:gridCol w:w="1135"/>
      </w:tblGrid>
      <w:tr w:rsidR="002E7A7B" w:rsidRPr="002E7A7B" w:rsidTr="002E7A7B">
        <w:trPr>
          <w:trHeight w:val="255"/>
          <w:tblCellSpacing w:w="0" w:type="dxa"/>
          <w:jc w:val="center"/>
        </w:trPr>
        <w:tc>
          <w:tcPr>
            <w:tcW w:w="735" w:type="dxa"/>
            <w:tcBorders>
              <w:top w:val="outset" w:sz="6" w:space="0" w:color="999999"/>
              <w:left w:val="outset" w:sz="6" w:space="0" w:color="999999"/>
              <w:bottom w:val="outset" w:sz="6" w:space="0" w:color="999999"/>
              <w:right w:val="outset" w:sz="6" w:space="0" w:color="999999"/>
            </w:tcBorders>
            <w:vAlign w:val="center"/>
            <w:hideMark/>
          </w:tcPr>
          <w:p w:rsidR="002E7A7B" w:rsidRPr="002E7A7B" w:rsidRDefault="002E7A7B" w:rsidP="002E7A7B">
            <w:pPr>
              <w:spacing w:after="0" w:line="310" w:lineRule="atLeast"/>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BORÇ</w:t>
            </w:r>
          </w:p>
        </w:tc>
        <w:tc>
          <w:tcPr>
            <w:tcW w:w="0" w:type="auto"/>
            <w:gridSpan w:val="2"/>
            <w:tcBorders>
              <w:top w:val="outset" w:sz="6" w:space="0" w:color="999999"/>
              <w:left w:val="outset" w:sz="6" w:space="0" w:color="999999"/>
              <w:bottom w:val="outset" w:sz="6" w:space="0" w:color="999999"/>
              <w:right w:val="outset" w:sz="6" w:space="0" w:color="999999"/>
            </w:tcBorders>
            <w:vAlign w:val="center"/>
            <w:hideMark/>
          </w:tcPr>
          <w:p w:rsidR="002E7A7B" w:rsidRPr="002E7A7B" w:rsidRDefault="002E7A7B" w:rsidP="002E7A7B">
            <w:pPr>
              <w:spacing w:after="0"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261 ŞEREFİYE HESABI</w:t>
            </w:r>
          </w:p>
        </w:tc>
        <w:tc>
          <w:tcPr>
            <w:tcW w:w="750" w:type="dxa"/>
            <w:tcBorders>
              <w:top w:val="outset" w:sz="6" w:space="0" w:color="999999"/>
              <w:left w:val="outset" w:sz="6" w:space="0" w:color="999999"/>
              <w:bottom w:val="outset" w:sz="6" w:space="0" w:color="999999"/>
              <w:right w:val="outset" w:sz="6" w:space="0" w:color="999999"/>
            </w:tcBorders>
            <w:vAlign w:val="center"/>
            <w:hideMark/>
          </w:tcPr>
          <w:p w:rsidR="002E7A7B" w:rsidRPr="002E7A7B" w:rsidRDefault="002E7A7B" w:rsidP="002E7A7B">
            <w:pPr>
              <w:spacing w:after="0" w:line="310" w:lineRule="atLeast"/>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ALACAK</w:t>
            </w:r>
          </w:p>
        </w:tc>
      </w:tr>
      <w:tr w:rsidR="002E7A7B" w:rsidRPr="002E7A7B" w:rsidTr="002E7A7B">
        <w:trPr>
          <w:trHeight w:val="1440"/>
          <w:tblCellSpacing w:w="0" w:type="dxa"/>
          <w:jc w:val="center"/>
        </w:trPr>
        <w:tc>
          <w:tcPr>
            <w:tcW w:w="0" w:type="auto"/>
            <w:gridSpan w:val="2"/>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after="0"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30.000</w:t>
            </w:r>
          </w:p>
        </w:tc>
        <w:tc>
          <w:tcPr>
            <w:tcW w:w="0" w:type="auto"/>
            <w:gridSpan w:val="2"/>
            <w:tcBorders>
              <w:top w:val="outset" w:sz="6" w:space="0" w:color="999999"/>
              <w:left w:val="outset" w:sz="6" w:space="0" w:color="999999"/>
              <w:bottom w:val="outset" w:sz="6" w:space="0" w:color="999999"/>
              <w:right w:val="outset" w:sz="6" w:space="0" w:color="999999"/>
            </w:tcBorders>
            <w:hideMark/>
          </w:tcPr>
          <w:p w:rsidR="002E7A7B" w:rsidRPr="002E7A7B" w:rsidRDefault="002E7A7B" w:rsidP="002E7A7B">
            <w:pPr>
              <w:spacing w:after="0"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w:t>
            </w:r>
          </w:p>
        </w:tc>
      </w:tr>
      <w:tr w:rsidR="002E7A7B" w:rsidRPr="002E7A7B" w:rsidTr="002E7A7B">
        <w:trPr>
          <w:tblCellSpacing w:w="0" w:type="dxa"/>
          <w:jc w:val="center"/>
        </w:trPr>
        <w:tc>
          <w:tcPr>
            <w:tcW w:w="0" w:type="auto"/>
            <w:gridSpan w:val="2"/>
            <w:tcBorders>
              <w:top w:val="outset" w:sz="6" w:space="0" w:color="999999"/>
              <w:left w:val="outset" w:sz="6" w:space="0" w:color="999999"/>
              <w:bottom w:val="outset" w:sz="6" w:space="0" w:color="999999"/>
              <w:right w:val="outset" w:sz="6" w:space="0" w:color="999999"/>
            </w:tcBorders>
            <w:vAlign w:val="center"/>
            <w:hideMark/>
          </w:tcPr>
          <w:p w:rsidR="002E7A7B" w:rsidRPr="002E7A7B" w:rsidRDefault="002E7A7B" w:rsidP="002E7A7B">
            <w:pPr>
              <w:spacing w:after="0"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w:t>
            </w:r>
          </w:p>
        </w:tc>
        <w:tc>
          <w:tcPr>
            <w:tcW w:w="0" w:type="auto"/>
            <w:gridSpan w:val="2"/>
            <w:tcBorders>
              <w:top w:val="outset" w:sz="6" w:space="0" w:color="999999"/>
              <w:left w:val="outset" w:sz="6" w:space="0" w:color="999999"/>
              <w:bottom w:val="outset" w:sz="6" w:space="0" w:color="999999"/>
              <w:right w:val="outset" w:sz="6" w:space="0" w:color="999999"/>
            </w:tcBorders>
            <w:vAlign w:val="center"/>
            <w:hideMark/>
          </w:tcPr>
          <w:p w:rsidR="002E7A7B" w:rsidRPr="002E7A7B" w:rsidRDefault="002E7A7B" w:rsidP="002E7A7B">
            <w:pPr>
              <w:spacing w:after="0" w:line="310" w:lineRule="atLeast"/>
              <w:jc w:val="center"/>
              <w:rPr>
                <w:rFonts w:ascii="Helvetica" w:eastAsia="Times New Roman" w:hAnsi="Helvetica" w:cs="Helvetica"/>
                <w:sz w:val="28"/>
                <w:szCs w:val="28"/>
                <w:lang w:eastAsia="tr-TR"/>
              </w:rPr>
            </w:pPr>
            <w:r w:rsidRPr="002E7A7B">
              <w:rPr>
                <w:rFonts w:ascii="Helvetica" w:eastAsia="Times New Roman" w:hAnsi="Helvetica" w:cs="Helvetica"/>
                <w:sz w:val="28"/>
                <w:szCs w:val="28"/>
                <w:lang w:eastAsia="tr-TR"/>
              </w:rPr>
              <w:t> </w:t>
            </w:r>
          </w:p>
        </w:tc>
      </w:tr>
    </w:tbl>
    <w:p w:rsidR="002E7A7B" w:rsidRPr="002E7A7B" w:rsidRDefault="002E7A7B" w:rsidP="002E7A7B">
      <w:pPr>
        <w:shd w:val="clear" w:color="auto" w:fill="FFFFFF"/>
        <w:spacing w:before="100" w:beforeAutospacing="1" w:after="100" w:afterAutospacing="1" w:line="356" w:lineRule="atLeast"/>
        <w:rPr>
          <w:rFonts w:ascii="Helvetica" w:eastAsia="Times New Roman" w:hAnsi="Helvetica" w:cs="Helvetica"/>
          <w:color w:val="333333"/>
          <w:sz w:val="28"/>
          <w:szCs w:val="28"/>
          <w:lang w:eastAsia="tr-TR"/>
        </w:rPr>
      </w:pPr>
      <w:r w:rsidRPr="002E7A7B">
        <w:rPr>
          <w:rFonts w:ascii="Helvetica" w:eastAsia="Times New Roman" w:hAnsi="Helvetica" w:cs="Helvetica"/>
          <w:color w:val="333333"/>
          <w:sz w:val="28"/>
          <w:szCs w:val="28"/>
          <w:lang w:eastAsia="tr-TR"/>
        </w:rPr>
        <w:t> </w:t>
      </w:r>
    </w:p>
    <w:p w:rsidR="002E7A7B" w:rsidRPr="002E7A7B" w:rsidRDefault="009032AD" w:rsidP="002E7A7B">
      <w:pPr>
        <w:shd w:val="clear" w:color="auto" w:fill="FFFFFF"/>
        <w:spacing w:before="100" w:beforeAutospacing="1" w:after="100" w:afterAutospacing="1" w:line="356" w:lineRule="atLeast"/>
        <w:jc w:val="center"/>
        <w:rPr>
          <w:rFonts w:ascii="Helvetica" w:eastAsia="Times New Roman" w:hAnsi="Helvetica" w:cs="Helvetica"/>
          <w:color w:val="333333"/>
          <w:sz w:val="28"/>
          <w:szCs w:val="28"/>
          <w:lang w:eastAsia="tr-TR"/>
        </w:rPr>
      </w:pPr>
      <w:hyperlink r:id="rId4" w:history="1">
        <w:r w:rsidR="002E7A7B" w:rsidRPr="002E7A7B">
          <w:rPr>
            <w:rFonts w:ascii="Helvetica" w:eastAsia="Times New Roman" w:hAnsi="Helvetica" w:cs="Helvetica"/>
            <w:b/>
            <w:bCs/>
            <w:color w:val="666666"/>
            <w:sz w:val="28"/>
            <w:szCs w:val="28"/>
            <w:lang w:eastAsia="tr-TR"/>
          </w:rPr>
          <w:t>&lt;&lt;&lt;&lt;&lt; </w:t>
        </w:r>
        <w:r w:rsidR="002E7A7B" w:rsidRPr="002E7A7B">
          <w:rPr>
            <w:rFonts w:ascii="Helvetica" w:eastAsia="Times New Roman" w:hAnsi="Helvetica" w:cs="Helvetica"/>
            <w:b/>
            <w:bCs/>
            <w:color w:val="666666"/>
            <w:sz w:val="28"/>
            <w:szCs w:val="28"/>
            <w:u w:val="single"/>
            <w:lang w:eastAsia="tr-TR"/>
          </w:rPr>
          <w:t>260 Haklar Hesabı </w:t>
        </w:r>
      </w:hyperlink>
      <w:r w:rsidR="002E7A7B" w:rsidRPr="002E7A7B">
        <w:rPr>
          <w:rFonts w:ascii="Helvetica" w:eastAsia="Times New Roman" w:hAnsi="Helvetica" w:cs="Helvetica"/>
          <w:color w:val="333333"/>
          <w:sz w:val="28"/>
          <w:szCs w:val="28"/>
          <w:lang w:eastAsia="tr-TR"/>
        </w:rPr>
        <w:t>- </w:t>
      </w:r>
      <w:hyperlink r:id="rId5" w:history="1">
        <w:r w:rsidR="002E7A7B" w:rsidRPr="002E7A7B">
          <w:rPr>
            <w:rFonts w:ascii="Helvetica" w:eastAsia="Times New Roman" w:hAnsi="Helvetica" w:cs="Helvetica"/>
            <w:b/>
            <w:bCs/>
            <w:color w:val="666666"/>
            <w:sz w:val="28"/>
            <w:szCs w:val="28"/>
            <w:u w:val="single"/>
            <w:lang w:eastAsia="tr-TR"/>
          </w:rPr>
          <w:t>262 Kuruluş ve Örgütlenme Giderleri Hesabı </w:t>
        </w:r>
        <w:r w:rsidR="002E7A7B" w:rsidRPr="002E7A7B">
          <w:rPr>
            <w:rFonts w:ascii="Helvetica" w:eastAsia="Times New Roman" w:hAnsi="Helvetica" w:cs="Helvetica"/>
            <w:b/>
            <w:bCs/>
            <w:color w:val="666666"/>
            <w:sz w:val="28"/>
            <w:szCs w:val="28"/>
            <w:lang w:eastAsia="tr-TR"/>
          </w:rPr>
          <w:t>&gt;&gt;&gt;&gt;&gt;</w:t>
        </w:r>
      </w:hyperlink>
    </w:p>
    <w:p w:rsidR="002E7A7B" w:rsidRPr="002E7A7B" w:rsidRDefault="009032AD" w:rsidP="002E7A7B">
      <w:pPr>
        <w:shd w:val="clear" w:color="auto" w:fill="FFFFFF"/>
        <w:spacing w:before="100" w:beforeAutospacing="1" w:after="100" w:afterAutospacing="1" w:line="356" w:lineRule="atLeast"/>
        <w:jc w:val="center"/>
        <w:rPr>
          <w:rFonts w:ascii="Helvetica" w:eastAsia="Times New Roman" w:hAnsi="Helvetica" w:cs="Helvetica"/>
          <w:color w:val="333333"/>
          <w:sz w:val="28"/>
          <w:szCs w:val="28"/>
          <w:lang w:eastAsia="tr-TR"/>
        </w:rPr>
      </w:pPr>
      <w:hyperlink r:id="rId6" w:history="1">
        <w:r w:rsidR="002E7A7B" w:rsidRPr="002E7A7B">
          <w:rPr>
            <w:rFonts w:ascii="Helvetica" w:eastAsia="Times New Roman" w:hAnsi="Helvetica" w:cs="Helvetica"/>
            <w:b/>
            <w:bCs/>
            <w:color w:val="666666"/>
            <w:sz w:val="28"/>
            <w:szCs w:val="28"/>
            <w:u w:val="single"/>
            <w:lang w:eastAsia="tr-TR"/>
          </w:rPr>
          <w:t>Ayrıntılı Tek Düzen Hesap Planı</w:t>
        </w:r>
      </w:hyperlink>
    </w:p>
    <w:p w:rsidR="0022419B" w:rsidRDefault="0022419B" w:rsidP="0022419B">
      <w:pPr>
        <w:pStyle w:val="NormalWeb"/>
        <w:spacing w:before="0" w:beforeAutospacing="0" w:after="0" w:afterAutospacing="0" w:line="341" w:lineRule="atLeast"/>
        <w:textAlignment w:val="baseline"/>
        <w:rPr>
          <w:rStyle w:val="Gl"/>
          <w:rFonts w:ascii="Arial" w:hAnsi="Arial" w:cs="Arial"/>
          <w:color w:val="000000"/>
          <w:sz w:val="25"/>
          <w:szCs w:val="25"/>
          <w:bdr w:val="none" w:sz="0" w:space="0" w:color="auto" w:frame="1"/>
        </w:rPr>
      </w:pPr>
    </w:p>
    <w:p w:rsidR="0022419B" w:rsidRDefault="0022419B" w:rsidP="0022419B">
      <w:pPr>
        <w:pStyle w:val="NormalWeb"/>
        <w:spacing w:before="0" w:beforeAutospacing="0" w:after="0" w:afterAutospacing="0" w:line="341" w:lineRule="atLeast"/>
        <w:jc w:val="both"/>
        <w:textAlignment w:val="baseline"/>
        <w:rPr>
          <w:rFonts w:ascii="Arial" w:hAnsi="Arial" w:cs="Arial"/>
          <w:color w:val="000000"/>
          <w:sz w:val="25"/>
          <w:szCs w:val="25"/>
        </w:rPr>
      </w:pPr>
      <w:r>
        <w:rPr>
          <w:rStyle w:val="Gl"/>
          <w:rFonts w:ascii="Arial" w:hAnsi="Arial" w:cs="Arial"/>
          <w:color w:val="000000"/>
          <w:sz w:val="25"/>
          <w:szCs w:val="25"/>
          <w:bdr w:val="none" w:sz="0" w:space="0" w:color="auto" w:frame="1"/>
        </w:rPr>
        <w:t>Soru: Şerefiye hesabının muhasebeleştirilmesi ne şekilde olacaktır?</w:t>
      </w:r>
    </w:p>
    <w:p w:rsidR="0022419B" w:rsidRDefault="0022419B" w:rsidP="0022419B">
      <w:pPr>
        <w:pStyle w:val="NormalWeb"/>
        <w:spacing w:before="0" w:beforeAutospacing="0" w:after="0" w:afterAutospacing="0" w:line="341" w:lineRule="atLeast"/>
        <w:jc w:val="both"/>
        <w:textAlignment w:val="baseline"/>
        <w:rPr>
          <w:rFonts w:ascii="Arial" w:hAnsi="Arial" w:cs="Arial"/>
          <w:color w:val="000000"/>
          <w:sz w:val="25"/>
          <w:szCs w:val="25"/>
        </w:rPr>
      </w:pPr>
      <w:r>
        <w:rPr>
          <w:rStyle w:val="Gl"/>
          <w:rFonts w:ascii="Arial" w:hAnsi="Arial" w:cs="Arial"/>
          <w:color w:val="000000"/>
          <w:sz w:val="25"/>
          <w:szCs w:val="25"/>
          <w:bdr w:val="none" w:sz="0" w:space="0" w:color="auto" w:frame="1"/>
        </w:rPr>
        <w:t>Cevap:</w:t>
      </w:r>
      <w:r>
        <w:rPr>
          <w:rFonts w:ascii="Arial" w:hAnsi="Arial" w:cs="Arial"/>
          <w:color w:val="000000"/>
          <w:sz w:val="25"/>
          <w:szCs w:val="25"/>
        </w:rPr>
        <w:t>Bu hesap, bir işletme devralınırken katlanılan maliyet ile söz konusu işletmenin rayiç  bedelle hesaplanan net varlıklarının (öz varlık) değeri arasındaki olumlu farkların izlenmesinde kullanılır. Şerefiye peştamallık olarak da adlandırılmaktadır.</w:t>
      </w:r>
    </w:p>
    <w:p w:rsidR="0022419B" w:rsidRDefault="0022419B" w:rsidP="0022419B">
      <w:pPr>
        <w:pStyle w:val="NormalWeb"/>
        <w:spacing w:before="77" w:beforeAutospacing="0" w:after="279" w:afterAutospacing="0" w:line="341" w:lineRule="atLeast"/>
        <w:jc w:val="both"/>
        <w:textAlignment w:val="baseline"/>
        <w:rPr>
          <w:rFonts w:ascii="Arial" w:hAnsi="Arial" w:cs="Arial"/>
          <w:color w:val="000000"/>
          <w:sz w:val="25"/>
          <w:szCs w:val="25"/>
        </w:rPr>
      </w:pPr>
      <w:r>
        <w:rPr>
          <w:rFonts w:ascii="Arial" w:hAnsi="Arial" w:cs="Arial"/>
          <w:color w:val="000000"/>
          <w:sz w:val="25"/>
          <w:szCs w:val="25"/>
        </w:rPr>
        <w:t xml:space="preserve">Şerefiye ticari bir işletmenin, sahip olduğu şöhret, tuttuğu müşteri kitlesi, faaliyet gösterdiği sektörde </w:t>
      </w:r>
      <w:proofErr w:type="gramStart"/>
      <w:r>
        <w:rPr>
          <w:rFonts w:ascii="Arial" w:hAnsi="Arial" w:cs="Arial"/>
          <w:color w:val="000000"/>
          <w:sz w:val="25"/>
          <w:szCs w:val="25"/>
        </w:rPr>
        <w:t>monopol</w:t>
      </w:r>
      <w:proofErr w:type="gramEnd"/>
      <w:r>
        <w:rPr>
          <w:rFonts w:ascii="Arial" w:hAnsi="Arial" w:cs="Arial"/>
          <w:color w:val="000000"/>
          <w:sz w:val="25"/>
          <w:szCs w:val="25"/>
        </w:rPr>
        <w:t xml:space="preserve"> durumda olması, bulunduğu yerin önemi ve benzeri nedenlerden dolayı, bilanço değerlerine ilave olarak sahip olduğu değeri ifade eder. Ancak bu değerleri yaratan işletmenin, bunları değerleme konusu yaparak </w:t>
      </w:r>
      <w:proofErr w:type="gramStart"/>
      <w:r>
        <w:rPr>
          <w:rFonts w:ascii="Arial" w:hAnsi="Arial" w:cs="Arial"/>
          <w:color w:val="000000"/>
          <w:sz w:val="25"/>
          <w:szCs w:val="25"/>
        </w:rPr>
        <w:t>bilançosuna</w:t>
      </w:r>
      <w:proofErr w:type="gramEnd"/>
      <w:r>
        <w:rPr>
          <w:rFonts w:ascii="Arial" w:hAnsi="Arial" w:cs="Arial"/>
          <w:color w:val="000000"/>
          <w:sz w:val="25"/>
          <w:szCs w:val="25"/>
        </w:rPr>
        <w:t xml:space="preserve"> dahil etmesi mümkün değildir.</w:t>
      </w:r>
    </w:p>
    <w:p w:rsidR="0022419B" w:rsidRDefault="0022419B" w:rsidP="0022419B">
      <w:pPr>
        <w:pStyle w:val="NormalWeb"/>
        <w:spacing w:before="77" w:beforeAutospacing="0" w:after="279" w:afterAutospacing="0" w:line="341" w:lineRule="atLeast"/>
        <w:jc w:val="both"/>
        <w:textAlignment w:val="baseline"/>
        <w:rPr>
          <w:rFonts w:ascii="Arial" w:hAnsi="Arial" w:cs="Arial"/>
          <w:color w:val="000000"/>
          <w:sz w:val="25"/>
          <w:szCs w:val="25"/>
        </w:rPr>
      </w:pPr>
      <w:r>
        <w:rPr>
          <w:rFonts w:ascii="Arial" w:hAnsi="Arial" w:cs="Arial"/>
          <w:color w:val="000000"/>
          <w:sz w:val="25"/>
          <w:szCs w:val="25"/>
        </w:rPr>
        <w:t xml:space="preserve">Buna karşılık, böyle bir işletmeyi, maddi değerlerinin üzerinde bir bedel (şerefiye) ödeyerek kısmen veya tamamen satın alan bir başka işletme, bu ilâve değeri şerefiye olarak değerleyerek bilançosuna </w:t>
      </w:r>
      <w:proofErr w:type="gramStart"/>
      <w:r>
        <w:rPr>
          <w:rFonts w:ascii="Arial" w:hAnsi="Arial" w:cs="Arial"/>
          <w:color w:val="000000"/>
          <w:sz w:val="25"/>
          <w:szCs w:val="25"/>
        </w:rPr>
        <w:t>dahil</w:t>
      </w:r>
      <w:proofErr w:type="gramEnd"/>
      <w:r>
        <w:rPr>
          <w:rFonts w:ascii="Arial" w:hAnsi="Arial" w:cs="Arial"/>
          <w:color w:val="000000"/>
          <w:sz w:val="25"/>
          <w:szCs w:val="25"/>
        </w:rPr>
        <w:t xml:space="preserve"> eder.</w:t>
      </w:r>
    </w:p>
    <w:p w:rsidR="0022419B" w:rsidRDefault="0022419B" w:rsidP="0022419B">
      <w:pPr>
        <w:pStyle w:val="NormalWeb"/>
        <w:spacing w:before="77" w:beforeAutospacing="0" w:after="279" w:afterAutospacing="0" w:line="341" w:lineRule="atLeast"/>
        <w:jc w:val="both"/>
        <w:textAlignment w:val="baseline"/>
        <w:rPr>
          <w:rFonts w:ascii="Arial" w:hAnsi="Arial" w:cs="Arial"/>
          <w:color w:val="000000"/>
          <w:sz w:val="25"/>
          <w:szCs w:val="25"/>
        </w:rPr>
      </w:pPr>
      <w:r>
        <w:rPr>
          <w:rFonts w:ascii="Arial" w:hAnsi="Arial" w:cs="Arial"/>
          <w:color w:val="000000"/>
          <w:sz w:val="25"/>
          <w:szCs w:val="25"/>
        </w:rPr>
        <w:t>Şerefiyeler mukayyet değeri ile değerlenerek aktifleştirilirler.</w:t>
      </w:r>
    </w:p>
    <w:p w:rsidR="0022419B" w:rsidRDefault="0022419B" w:rsidP="0022419B">
      <w:pPr>
        <w:pStyle w:val="NormalWeb"/>
        <w:spacing w:before="77" w:beforeAutospacing="0" w:after="279" w:afterAutospacing="0" w:line="341" w:lineRule="atLeast"/>
        <w:jc w:val="both"/>
        <w:textAlignment w:val="baseline"/>
        <w:rPr>
          <w:rFonts w:ascii="Arial" w:hAnsi="Arial" w:cs="Arial"/>
          <w:color w:val="000000"/>
          <w:sz w:val="25"/>
          <w:szCs w:val="25"/>
        </w:rPr>
      </w:pPr>
      <w:r>
        <w:rPr>
          <w:rFonts w:ascii="Arial" w:hAnsi="Arial" w:cs="Arial"/>
          <w:color w:val="000000"/>
          <w:sz w:val="25"/>
          <w:szCs w:val="25"/>
        </w:rPr>
        <w:t xml:space="preserve">Peştamallıklarla ilgili değerleme hükmü, </w:t>
      </w:r>
      <w:proofErr w:type="spellStart"/>
      <w:r>
        <w:rPr>
          <w:rFonts w:ascii="Arial" w:hAnsi="Arial" w:cs="Arial"/>
          <w:color w:val="000000"/>
          <w:sz w:val="25"/>
          <w:szCs w:val="25"/>
        </w:rPr>
        <w:t>VUK’un</w:t>
      </w:r>
      <w:proofErr w:type="spellEnd"/>
      <w:r>
        <w:rPr>
          <w:rFonts w:ascii="Arial" w:hAnsi="Arial" w:cs="Arial"/>
          <w:color w:val="000000"/>
          <w:sz w:val="25"/>
          <w:szCs w:val="25"/>
        </w:rPr>
        <w:t xml:space="preserve"> 282. maddesinde kuruluş ve örgütlenme giderleri ile birlikte düzenlenmiştir. Ancak kuruluş ve örgütlenme giderlerinin aktifleştirilmesi imkânı sadece kurumlara tanındığı halde, şerefiye ile ilgili değerleme hükmü, kurumlarla birlikte Gelir Vergisi mükellefleri için de geçerlidir. Bir diğer husus, kuruluş ve örgütlenme giderlerinin aktifleştirilmesi ihtiyari olduğu halde, değeri 700 TL’yi (2011 yılı için) geçen şerefiyelerin aktifleştirilmesinin zorunlu olmasıdır. Şerefiye olarak ödenen veya borçlanılan bedeller 261 No.lu hesabın borcuna kaydedilir. Hesap aktif karakterli olduğu için ilk kaydın borçlandırılarak yapılması gerekir. Ödemenin niteliğine göre ilgili hesaplar </w:t>
      </w:r>
      <w:proofErr w:type="spellStart"/>
      <w:r>
        <w:rPr>
          <w:rFonts w:ascii="Arial" w:hAnsi="Arial" w:cs="Arial"/>
          <w:color w:val="000000"/>
          <w:sz w:val="25"/>
          <w:szCs w:val="25"/>
        </w:rPr>
        <w:t>alacaklanır</w:t>
      </w:r>
      <w:proofErr w:type="spellEnd"/>
      <w:r>
        <w:rPr>
          <w:rFonts w:ascii="Arial" w:hAnsi="Arial" w:cs="Arial"/>
          <w:color w:val="000000"/>
          <w:sz w:val="25"/>
          <w:szCs w:val="25"/>
        </w:rPr>
        <w:t>. Hesap ancak borç kalanı veya 0 (sıfır) bakiye verir.</w:t>
      </w:r>
    </w:p>
    <w:p w:rsidR="0022419B" w:rsidRDefault="0022419B" w:rsidP="0022419B">
      <w:pPr>
        <w:pStyle w:val="NormalWeb"/>
        <w:spacing w:before="77" w:beforeAutospacing="0" w:after="279" w:afterAutospacing="0" w:line="341" w:lineRule="atLeast"/>
        <w:jc w:val="both"/>
        <w:textAlignment w:val="baseline"/>
        <w:rPr>
          <w:rFonts w:ascii="Arial" w:hAnsi="Arial" w:cs="Arial"/>
          <w:color w:val="000000"/>
          <w:sz w:val="25"/>
          <w:szCs w:val="25"/>
        </w:rPr>
      </w:pPr>
      <w:r>
        <w:rPr>
          <w:rFonts w:ascii="Arial" w:hAnsi="Arial" w:cs="Arial"/>
          <w:color w:val="000000"/>
          <w:sz w:val="25"/>
          <w:szCs w:val="25"/>
        </w:rPr>
        <w:t xml:space="preserve">Şerefiyeler beş yılda eşit taksitlerle itfa edilir. Şerefiyeler itfa edildikten sonra 268 No.lu Birikmiş Amortismanlar Hesabı borçlandırılıp, 261 No.lu hesap </w:t>
      </w:r>
      <w:proofErr w:type="spellStart"/>
      <w:r>
        <w:rPr>
          <w:rFonts w:ascii="Arial" w:hAnsi="Arial" w:cs="Arial"/>
          <w:color w:val="000000"/>
          <w:sz w:val="25"/>
          <w:szCs w:val="25"/>
        </w:rPr>
        <w:t>alacaklandırılmak</w:t>
      </w:r>
      <w:proofErr w:type="spellEnd"/>
      <w:r>
        <w:rPr>
          <w:rFonts w:ascii="Arial" w:hAnsi="Arial" w:cs="Arial"/>
          <w:color w:val="000000"/>
          <w:sz w:val="25"/>
          <w:szCs w:val="25"/>
        </w:rPr>
        <w:t xml:space="preserve"> suretiyle kayıtlardan çıkartılırlar.</w:t>
      </w:r>
    </w:p>
    <w:p w:rsidR="0022419B" w:rsidRDefault="0022419B" w:rsidP="0022419B">
      <w:pPr>
        <w:pStyle w:val="NormalWeb"/>
        <w:spacing w:before="77" w:beforeAutospacing="0" w:after="279" w:afterAutospacing="0" w:line="341" w:lineRule="atLeast"/>
        <w:jc w:val="both"/>
        <w:textAlignment w:val="baseline"/>
        <w:rPr>
          <w:rFonts w:ascii="Arial" w:hAnsi="Arial" w:cs="Arial"/>
          <w:color w:val="000000"/>
          <w:sz w:val="25"/>
          <w:szCs w:val="25"/>
        </w:rPr>
      </w:pPr>
      <w:r>
        <w:rPr>
          <w:rFonts w:ascii="Arial" w:hAnsi="Arial" w:cs="Arial"/>
          <w:color w:val="000000"/>
          <w:sz w:val="25"/>
          <w:szCs w:val="25"/>
        </w:rPr>
        <w:t xml:space="preserve">Şerefiye, kayıtlı değerle değerlenir ve 5 yılda eşit taksitlerle yok edilir. Envanteri, ayrılan ve birikmiş </w:t>
      </w:r>
      <w:proofErr w:type="gramStart"/>
      <w:r>
        <w:rPr>
          <w:rFonts w:ascii="Arial" w:hAnsi="Arial" w:cs="Arial"/>
          <w:color w:val="000000"/>
          <w:sz w:val="25"/>
          <w:szCs w:val="25"/>
        </w:rPr>
        <w:t>amortisman</w:t>
      </w:r>
      <w:proofErr w:type="gramEnd"/>
      <w:r>
        <w:rPr>
          <w:rFonts w:ascii="Arial" w:hAnsi="Arial" w:cs="Arial"/>
          <w:color w:val="000000"/>
          <w:sz w:val="25"/>
          <w:szCs w:val="25"/>
        </w:rPr>
        <w:t xml:space="preserve"> tutarının mukayesesi yoluyla </w:t>
      </w:r>
      <w:proofErr w:type="spellStart"/>
      <w:r>
        <w:rPr>
          <w:rFonts w:ascii="Arial" w:hAnsi="Arial" w:cs="Arial"/>
          <w:color w:val="000000"/>
          <w:sz w:val="25"/>
          <w:szCs w:val="25"/>
        </w:rPr>
        <w:t>kayden</w:t>
      </w:r>
      <w:proofErr w:type="spellEnd"/>
      <w:r>
        <w:rPr>
          <w:rFonts w:ascii="Arial" w:hAnsi="Arial" w:cs="Arial"/>
          <w:color w:val="000000"/>
          <w:sz w:val="25"/>
          <w:szCs w:val="25"/>
        </w:rPr>
        <w:t xml:space="preserve"> yapılır. Şerefiye bedeli tamamen itfa edildiğinde 261 No.lu hesaba alacak, 268 No.lu </w:t>
      </w:r>
      <w:r>
        <w:rPr>
          <w:rFonts w:ascii="Arial" w:hAnsi="Arial" w:cs="Arial"/>
          <w:color w:val="000000"/>
          <w:sz w:val="25"/>
          <w:szCs w:val="25"/>
        </w:rPr>
        <w:lastRenderedPageBreak/>
        <w:t>hesaba borç kayıt yapılarak hesaplardan çıkarılır. Şerefiyeler eşit tutarlar halinde itfa edilmek zorunda oldukları için azalan bakiyeler usulüyle itfa edilemezler.</w:t>
      </w:r>
    </w:p>
    <w:p w:rsidR="0022419B" w:rsidRDefault="0022419B" w:rsidP="0022419B">
      <w:pPr>
        <w:pStyle w:val="NormalWeb"/>
        <w:spacing w:before="0" w:beforeAutospacing="0" w:after="0" w:afterAutospacing="0" w:line="341" w:lineRule="atLeast"/>
        <w:jc w:val="both"/>
        <w:textAlignment w:val="baseline"/>
        <w:rPr>
          <w:rFonts w:ascii="Arial" w:hAnsi="Arial" w:cs="Arial"/>
          <w:color w:val="000000"/>
          <w:sz w:val="25"/>
          <w:szCs w:val="25"/>
        </w:rPr>
      </w:pPr>
      <w:proofErr w:type="gramStart"/>
      <w:r>
        <w:rPr>
          <w:rStyle w:val="Gl"/>
          <w:rFonts w:ascii="Arial" w:hAnsi="Arial" w:cs="Arial"/>
          <w:color w:val="000000"/>
          <w:sz w:val="25"/>
          <w:szCs w:val="25"/>
          <w:bdr w:val="none" w:sz="0" w:space="0" w:color="auto" w:frame="1"/>
        </w:rPr>
        <w:t>Uygulama :</w:t>
      </w:r>
      <w:r>
        <w:rPr>
          <w:rFonts w:ascii="Arial" w:hAnsi="Arial" w:cs="Arial"/>
          <w:color w:val="000000"/>
          <w:sz w:val="25"/>
          <w:szCs w:val="25"/>
        </w:rPr>
        <w:t>Gerçek</w:t>
      </w:r>
      <w:proofErr w:type="gramEnd"/>
      <w:r>
        <w:rPr>
          <w:rFonts w:ascii="Arial" w:hAnsi="Arial" w:cs="Arial"/>
          <w:color w:val="000000"/>
          <w:sz w:val="25"/>
          <w:szCs w:val="25"/>
        </w:rPr>
        <w:t xml:space="preserve"> usulde gelir vergi mükellefi olan bay C şahsının kiralık işyerini kiracılık hakları ile aşağıdaki varlık ve borçları ile birlikte devralan bir işletme, C şahsına 40.000 TL ödemiştir.</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 </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 Varlıklar                       : (Cari değer)</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 xml:space="preserve">Alacak </w:t>
      </w:r>
      <w:proofErr w:type="gramStart"/>
      <w:r>
        <w:rPr>
          <w:rFonts w:ascii="Arial" w:hAnsi="Arial" w:cs="Arial"/>
          <w:color w:val="000000"/>
          <w:sz w:val="25"/>
          <w:szCs w:val="25"/>
        </w:rPr>
        <w:t>Senetleri            : 10</w:t>
      </w:r>
      <w:proofErr w:type="gramEnd"/>
      <w:r>
        <w:rPr>
          <w:rFonts w:ascii="Arial" w:hAnsi="Arial" w:cs="Arial"/>
          <w:color w:val="000000"/>
          <w:sz w:val="25"/>
          <w:szCs w:val="25"/>
        </w:rPr>
        <w:t>.000 TL</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 xml:space="preserve">Ticari </w:t>
      </w:r>
      <w:proofErr w:type="gramStart"/>
      <w:r>
        <w:rPr>
          <w:rFonts w:ascii="Arial" w:hAnsi="Arial" w:cs="Arial"/>
          <w:color w:val="000000"/>
          <w:sz w:val="25"/>
          <w:szCs w:val="25"/>
        </w:rPr>
        <w:t>Mallar                  : 25</w:t>
      </w:r>
      <w:proofErr w:type="gramEnd"/>
      <w:r>
        <w:rPr>
          <w:rFonts w:ascii="Arial" w:hAnsi="Arial" w:cs="Arial"/>
          <w:color w:val="000000"/>
          <w:sz w:val="25"/>
          <w:szCs w:val="25"/>
        </w:rPr>
        <w:t>.000 TL</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proofErr w:type="gramStart"/>
      <w:r>
        <w:rPr>
          <w:rFonts w:ascii="Arial" w:hAnsi="Arial" w:cs="Arial"/>
          <w:color w:val="000000"/>
          <w:sz w:val="25"/>
          <w:szCs w:val="25"/>
        </w:rPr>
        <w:t>Demirbaşlar                  : 20</w:t>
      </w:r>
      <w:proofErr w:type="gramEnd"/>
      <w:r>
        <w:rPr>
          <w:rFonts w:ascii="Arial" w:hAnsi="Arial" w:cs="Arial"/>
          <w:color w:val="000000"/>
          <w:sz w:val="25"/>
          <w:szCs w:val="25"/>
        </w:rPr>
        <w:t>.000 TL    </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 xml:space="preserve">Varlıklar </w:t>
      </w:r>
      <w:proofErr w:type="gramStart"/>
      <w:r>
        <w:rPr>
          <w:rFonts w:ascii="Arial" w:hAnsi="Arial" w:cs="Arial"/>
          <w:color w:val="000000"/>
          <w:sz w:val="25"/>
          <w:szCs w:val="25"/>
        </w:rPr>
        <w:t>Toplamı           : 55</w:t>
      </w:r>
      <w:proofErr w:type="gramEnd"/>
      <w:r>
        <w:rPr>
          <w:rFonts w:ascii="Arial" w:hAnsi="Arial" w:cs="Arial"/>
          <w:color w:val="000000"/>
          <w:sz w:val="25"/>
          <w:szCs w:val="25"/>
        </w:rPr>
        <w:t>.000 TL</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Borçlar                         : (Cari değer)</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 xml:space="preserve">Borç </w:t>
      </w:r>
      <w:proofErr w:type="gramStart"/>
      <w:r>
        <w:rPr>
          <w:rFonts w:ascii="Arial" w:hAnsi="Arial" w:cs="Arial"/>
          <w:color w:val="000000"/>
          <w:sz w:val="25"/>
          <w:szCs w:val="25"/>
        </w:rPr>
        <w:t>Senetleri               : 10</w:t>
      </w:r>
      <w:proofErr w:type="gramEnd"/>
      <w:r>
        <w:rPr>
          <w:rFonts w:ascii="Arial" w:hAnsi="Arial" w:cs="Arial"/>
          <w:color w:val="000000"/>
          <w:sz w:val="25"/>
          <w:szCs w:val="25"/>
        </w:rPr>
        <w:t>.000 TL</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proofErr w:type="gramStart"/>
      <w:r>
        <w:rPr>
          <w:rFonts w:ascii="Arial" w:hAnsi="Arial" w:cs="Arial"/>
          <w:color w:val="000000"/>
          <w:sz w:val="25"/>
          <w:szCs w:val="25"/>
        </w:rPr>
        <w:t>Satıcılar                        : 10</w:t>
      </w:r>
      <w:proofErr w:type="gramEnd"/>
      <w:r>
        <w:rPr>
          <w:rFonts w:ascii="Arial" w:hAnsi="Arial" w:cs="Arial"/>
          <w:color w:val="000000"/>
          <w:sz w:val="25"/>
          <w:szCs w:val="25"/>
        </w:rPr>
        <w:t>.000 TL</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 xml:space="preserve">Borçlar </w:t>
      </w:r>
      <w:proofErr w:type="gramStart"/>
      <w:r>
        <w:rPr>
          <w:rFonts w:ascii="Arial" w:hAnsi="Arial" w:cs="Arial"/>
          <w:color w:val="000000"/>
          <w:sz w:val="25"/>
          <w:szCs w:val="25"/>
        </w:rPr>
        <w:t>Toplamı             : 20</w:t>
      </w:r>
      <w:proofErr w:type="gramEnd"/>
      <w:r>
        <w:rPr>
          <w:rFonts w:ascii="Arial" w:hAnsi="Arial" w:cs="Arial"/>
          <w:color w:val="000000"/>
          <w:sz w:val="25"/>
          <w:szCs w:val="25"/>
        </w:rPr>
        <w:t>.000 TL</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Öz varlık: (Varlıklar-Borçlar), (55.000-20.000 =) 35.000 TL</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Şerefiye                        : (40.000-35.000 =) 5.000 TL</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Bu işlemin kaydı aşağıdaki gibi olacaktır.</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 </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261 Şerefiye                        5.000</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121 Alacak Senetleri       10.000</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153 Ticari Mallar              25.000</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255 Demirbaşlar             20.000</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lastRenderedPageBreak/>
        <w:t xml:space="preserve">191 İndirilecek </w:t>
      </w:r>
      <w:proofErr w:type="spellStart"/>
      <w:r>
        <w:rPr>
          <w:rFonts w:ascii="Arial" w:hAnsi="Arial" w:cs="Arial"/>
          <w:color w:val="000000"/>
          <w:sz w:val="25"/>
          <w:szCs w:val="25"/>
        </w:rPr>
        <w:t>Kdv</w:t>
      </w:r>
      <w:proofErr w:type="spellEnd"/>
      <w:r>
        <w:rPr>
          <w:rFonts w:ascii="Arial" w:hAnsi="Arial" w:cs="Arial"/>
          <w:color w:val="000000"/>
          <w:sz w:val="25"/>
          <w:szCs w:val="25"/>
        </w:rPr>
        <w:t>           9.000</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                                                            321 Borç Senetleri       10.000</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                                                            320 Satıcılar                  10.000</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                                                            102 Bankalar                49.000</w:t>
      </w:r>
    </w:p>
    <w:p w:rsidR="0022419B" w:rsidRDefault="0022419B" w:rsidP="0022419B">
      <w:pPr>
        <w:pStyle w:val="NormalWeb"/>
        <w:spacing w:before="0" w:beforeAutospacing="0" w:after="0" w:afterAutospacing="0" w:line="341" w:lineRule="atLeast"/>
        <w:textAlignment w:val="baseline"/>
        <w:rPr>
          <w:rFonts w:ascii="Arial" w:hAnsi="Arial" w:cs="Arial"/>
          <w:color w:val="000000"/>
          <w:sz w:val="25"/>
          <w:szCs w:val="25"/>
        </w:rPr>
      </w:pPr>
      <w:r>
        <w:rPr>
          <w:rStyle w:val="Gl"/>
          <w:rFonts w:ascii="Arial" w:hAnsi="Arial" w:cs="Arial"/>
          <w:color w:val="000000"/>
          <w:sz w:val="25"/>
          <w:szCs w:val="25"/>
          <w:bdr w:val="none" w:sz="0" w:space="0" w:color="auto" w:frame="1"/>
        </w:rPr>
        <w:t>İşyeri devralınması       </w:t>
      </w:r>
    </w:p>
    <w:p w:rsidR="0022419B" w:rsidRDefault="0022419B" w:rsidP="0022419B">
      <w:pPr>
        <w:pStyle w:val="NormalWeb"/>
        <w:spacing w:before="77" w:beforeAutospacing="0" w:after="279" w:afterAutospacing="0" w:line="341" w:lineRule="atLeast"/>
        <w:textAlignment w:val="baseline"/>
        <w:rPr>
          <w:rFonts w:ascii="Arial" w:hAnsi="Arial" w:cs="Arial"/>
          <w:color w:val="000000"/>
          <w:sz w:val="25"/>
          <w:szCs w:val="25"/>
        </w:rPr>
      </w:pPr>
      <w:r>
        <w:rPr>
          <w:rFonts w:ascii="Arial" w:hAnsi="Arial" w:cs="Arial"/>
          <w:color w:val="000000"/>
          <w:sz w:val="25"/>
          <w:szCs w:val="25"/>
        </w:rPr>
        <w:t>-------------------------------------------------------------------------</w:t>
      </w:r>
    </w:p>
    <w:p w:rsidR="009D46E8" w:rsidRDefault="009D46E8"/>
    <w:sectPr w:rsidR="009D46E8" w:rsidSect="009D46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2E7A7B"/>
    <w:rsid w:val="0022419B"/>
    <w:rsid w:val="002E7A7B"/>
    <w:rsid w:val="009032AD"/>
    <w:rsid w:val="009D46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6E8"/>
  </w:style>
  <w:style w:type="paragraph" w:styleId="Balk1">
    <w:name w:val="heading 1"/>
    <w:basedOn w:val="Normal"/>
    <w:link w:val="Balk1Char"/>
    <w:uiPriority w:val="9"/>
    <w:qFormat/>
    <w:rsid w:val="002E7A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7A7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2E7A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E7A7B"/>
    <w:rPr>
      <w:b/>
      <w:bCs/>
    </w:rPr>
  </w:style>
  <w:style w:type="character" w:styleId="Kpr">
    <w:name w:val="Hyperlink"/>
    <w:basedOn w:val="VarsaylanParagrafYazTipi"/>
    <w:uiPriority w:val="99"/>
    <w:semiHidden/>
    <w:unhideWhenUsed/>
    <w:rsid w:val="002E7A7B"/>
    <w:rPr>
      <w:color w:val="0000FF"/>
      <w:u w:val="single"/>
    </w:rPr>
  </w:style>
</w:styles>
</file>

<file path=word/webSettings.xml><?xml version="1.0" encoding="utf-8"?>
<w:webSettings xmlns:r="http://schemas.openxmlformats.org/officeDocument/2006/relationships" xmlns:w="http://schemas.openxmlformats.org/wordprocessingml/2006/main">
  <w:divs>
    <w:div w:id="85078419">
      <w:bodyDiv w:val="1"/>
      <w:marLeft w:val="0"/>
      <w:marRight w:val="0"/>
      <w:marTop w:val="0"/>
      <w:marBottom w:val="0"/>
      <w:divBdr>
        <w:top w:val="none" w:sz="0" w:space="0" w:color="auto"/>
        <w:left w:val="none" w:sz="0" w:space="0" w:color="auto"/>
        <w:bottom w:val="none" w:sz="0" w:space="0" w:color="auto"/>
        <w:right w:val="none" w:sz="0" w:space="0" w:color="auto"/>
      </w:divBdr>
      <w:divsChild>
        <w:div w:id="432869343">
          <w:marLeft w:val="0"/>
          <w:marRight w:val="0"/>
          <w:marTop w:val="0"/>
          <w:marBottom w:val="0"/>
          <w:divBdr>
            <w:top w:val="none" w:sz="0" w:space="0" w:color="auto"/>
            <w:left w:val="none" w:sz="0" w:space="0" w:color="auto"/>
            <w:bottom w:val="none" w:sz="0" w:space="0" w:color="auto"/>
            <w:right w:val="none" w:sz="0" w:space="0" w:color="auto"/>
          </w:divBdr>
        </w:div>
        <w:div w:id="198319273">
          <w:marLeft w:val="0"/>
          <w:marRight w:val="0"/>
          <w:marTop w:val="0"/>
          <w:marBottom w:val="77"/>
          <w:divBdr>
            <w:top w:val="none" w:sz="0" w:space="0" w:color="auto"/>
            <w:left w:val="none" w:sz="0" w:space="0" w:color="auto"/>
            <w:bottom w:val="none" w:sz="0" w:space="0" w:color="auto"/>
            <w:right w:val="none" w:sz="0" w:space="0" w:color="auto"/>
          </w:divBdr>
          <w:divsChild>
            <w:div w:id="148682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128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hasebedersleri.com/hesaplar/ayrintili-tek-duzen-hesap-plani.html" TargetMode="External"/><Relationship Id="rId5" Type="http://schemas.openxmlformats.org/officeDocument/2006/relationships/hyperlink" Target="https://www.muhasebedersleri.com/hesaplar/262-kurulus-orgutlenme-giderleri.html" TargetMode="External"/><Relationship Id="rId4" Type="http://schemas.openxmlformats.org/officeDocument/2006/relationships/hyperlink" Target="https://www.muhasebedersleri.com/hesaplar/260-haklar.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2022-11-29T11:17:00Z</dcterms:created>
  <dcterms:modified xsi:type="dcterms:W3CDTF">2022-11-29T11:20:00Z</dcterms:modified>
</cp:coreProperties>
</file>