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66" w:rsidRPr="00195E66" w:rsidRDefault="00195E66" w:rsidP="00195E66">
      <w:pPr>
        <w:pStyle w:val="AralkYok"/>
        <w:rPr>
          <w:b/>
          <w:color w:val="FF0000"/>
          <w:sz w:val="44"/>
          <w:szCs w:val="44"/>
          <w:lang w:eastAsia="tr-TR"/>
        </w:rPr>
      </w:pPr>
      <w:r w:rsidRPr="00195E66">
        <w:rPr>
          <w:b/>
          <w:color w:val="FF0000"/>
          <w:sz w:val="44"/>
          <w:szCs w:val="44"/>
          <w:lang w:eastAsia="tr-TR"/>
        </w:rPr>
        <w:t>2023 Yılı Asgari Ücretin İşverene Maliyeti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5"/>
        <w:gridCol w:w="3027"/>
      </w:tblGrid>
      <w:tr w:rsidR="00195E66" w:rsidRPr="00195E66" w:rsidTr="00982A80">
        <w:trPr>
          <w:trHeight w:val="2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Asgari Ücret Üzerinden İşçilik Maliyeti (NORMAL) (5510 Teşvikli)</w:t>
            </w:r>
          </w:p>
        </w:tc>
      </w:tr>
      <w:tr w:rsidR="00195E66" w:rsidRPr="00195E66" w:rsidTr="00982A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Hesaplamalar Bilgi İçindir Herhangi Bir Sorumluluk Kabul Edilmez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6" w:space="0" w:color="E5E5E5"/>
              <w:bottom w:val="single" w:sz="4" w:space="0" w:color="auto"/>
              <w:right w:val="single" w:sz="6" w:space="0" w:color="E5E5E5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6" w:space="0" w:color="E5E5E5"/>
              <w:bottom w:val="single" w:sz="4" w:space="0" w:color="auto"/>
              <w:right w:val="single" w:sz="6" w:space="0" w:color="E5E5E5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Ocak 2023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Asgari Ücret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10.008,00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SGK Taban Matrahı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10.008,00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SGK Tavan Matrahı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75.060,00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30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Günlük Ücret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333,60</w:t>
            </w:r>
          </w:p>
        </w:tc>
      </w:tr>
      <w:tr w:rsidR="00195E66" w:rsidRPr="00195E66" w:rsidTr="00982A80">
        <w:trPr>
          <w:trHeight w:val="372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Brüt Aylık Ücret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10.008,00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İşçi SGK Payı (%14)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1.401,12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İşçi İşsizlik Sigortası Payı (%1)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100,08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Gelir Vergisi Matrahı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lang w:eastAsia="tr-TR"/>
              </w:rPr>
            </w:pPr>
            <w:r w:rsidRPr="00195E66">
              <w:rPr>
                <w:rFonts w:ascii="Times New Roman" w:hAnsi="Times New Roman"/>
                <w:lang w:eastAsia="tr-TR"/>
              </w:rPr>
              <w:t>Gelir Vergisi Tutarı (%15 – Asgari Ücret İstisnası: 1.276,02 TL.)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195E66" w:rsidRPr="00195E66" w:rsidTr="00982A80">
        <w:trPr>
          <w:trHeight w:val="591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lang w:eastAsia="tr-TR"/>
              </w:rPr>
            </w:pPr>
            <w:r w:rsidRPr="00195E66">
              <w:rPr>
                <w:rFonts w:ascii="Times New Roman" w:hAnsi="Times New Roman"/>
                <w:lang w:eastAsia="tr-TR"/>
              </w:rPr>
              <w:t>Damga Vergisi Tutarı (%0,759 – Asgari Ücret İstisnası: 75,96 TL.)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lang w:eastAsia="tr-TR"/>
              </w:rPr>
            </w:pPr>
            <w:r w:rsidRPr="00195E66">
              <w:rPr>
                <w:rFonts w:ascii="Times New Roman" w:hAnsi="Times New Roman"/>
                <w:lang w:eastAsia="tr-TR"/>
              </w:rPr>
              <w:t>Zorunlu BES Kesintisi (%3 – Maliyete Eklenmedi: 300,24 TL.)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Kesintiler Toplamı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1.501,20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Net Ele Geçen Tutar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8.506,80</w:t>
            </w:r>
          </w:p>
        </w:tc>
      </w:tr>
      <w:tr w:rsidR="00195E66" w:rsidRPr="00195E66" w:rsidTr="00982A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both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İŞVERENE MALİYET HESABI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Brüt Aylık Ücret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10.008,00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İşveren SGK Payı (%20,5)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2.051,64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İşveren SGK Teşvik (%5 – 5510)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(-500,40)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İşveren SGK Payı Kalan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1.551,24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İşveren İşsizlik Sigortası Payı (%2)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200,16</w:t>
            </w:r>
          </w:p>
        </w:tc>
      </w:tr>
      <w:tr w:rsidR="00195E66" w:rsidRPr="00195E66" w:rsidTr="00982A80"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TOPLAM İŞVERENE MALİYET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jc w:val="right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11.759,40</w:t>
            </w:r>
          </w:p>
        </w:tc>
      </w:tr>
      <w:tr w:rsidR="00195E66" w:rsidRPr="00195E66" w:rsidTr="00982A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5" w:type="dxa"/>
              <w:left w:w="155" w:type="dxa"/>
              <w:bottom w:w="155" w:type="dxa"/>
              <w:right w:w="155" w:type="dxa"/>
            </w:tcMar>
            <w:vAlign w:val="center"/>
            <w:hideMark/>
          </w:tcPr>
          <w:p w:rsidR="00195E66" w:rsidRPr="00195E66" w:rsidRDefault="00195E66" w:rsidP="00195E66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95E66">
              <w:rPr>
                <w:rFonts w:ascii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150EF0" w:rsidRDefault="00150EF0" w:rsidP="00150EF0">
      <w:pPr>
        <w:spacing w:after="240" w:line="240" w:lineRule="auto"/>
        <w:jc w:val="both"/>
        <w:textAlignment w:val="baseline"/>
        <w:outlineLvl w:val="3"/>
        <w:rPr>
          <w:rFonts w:ascii="inherit" w:eastAsia="Times New Roman" w:hAnsi="inherit" w:cs="Tahoma"/>
          <w:color w:val="333333"/>
          <w:sz w:val="17"/>
          <w:szCs w:val="17"/>
          <w:lang w:eastAsia="tr-TR"/>
        </w:rPr>
      </w:pPr>
    </w:p>
    <w:p w:rsidR="00150EF0" w:rsidRDefault="00150EF0" w:rsidP="00150EF0">
      <w:pPr>
        <w:spacing w:after="240" w:line="240" w:lineRule="auto"/>
        <w:jc w:val="both"/>
        <w:textAlignment w:val="baseline"/>
        <w:outlineLvl w:val="3"/>
        <w:rPr>
          <w:rFonts w:ascii="inherit" w:eastAsia="Times New Roman" w:hAnsi="inherit" w:cs="Tahoma"/>
          <w:color w:val="333333"/>
          <w:sz w:val="17"/>
          <w:szCs w:val="17"/>
          <w:lang w:eastAsia="tr-TR"/>
        </w:rPr>
      </w:pPr>
    </w:p>
    <w:p w:rsidR="00150EF0" w:rsidRPr="00E61650" w:rsidRDefault="00150EF0" w:rsidP="00150EF0">
      <w:pPr>
        <w:spacing w:after="240" w:line="240" w:lineRule="auto"/>
        <w:jc w:val="both"/>
        <w:textAlignment w:val="baseline"/>
        <w:outlineLvl w:val="3"/>
        <w:rPr>
          <w:rFonts w:ascii="inherit" w:eastAsia="Times New Roman" w:hAnsi="inherit" w:cs="Tahoma"/>
          <w:sz w:val="24"/>
          <w:szCs w:val="24"/>
          <w:lang w:eastAsia="tr-TR"/>
        </w:rPr>
      </w:pPr>
      <w:r w:rsidRPr="00E61650">
        <w:rPr>
          <w:rFonts w:ascii="inherit" w:eastAsia="Times New Roman" w:hAnsi="inherit" w:cs="Tahoma"/>
          <w:sz w:val="24"/>
          <w:szCs w:val="24"/>
          <w:lang w:eastAsia="tr-TR"/>
        </w:rPr>
        <w:t>ESKİ ASGARİ ÜCRET HESAPLAMALARI</w:t>
      </w:r>
    </w:p>
    <w:tbl>
      <w:tblPr>
        <w:tblW w:w="5292" w:type="dxa"/>
        <w:tblCellMar>
          <w:left w:w="0" w:type="dxa"/>
          <w:right w:w="0" w:type="dxa"/>
        </w:tblCellMar>
        <w:tblLook w:val="04A0"/>
      </w:tblPr>
      <w:tblGrid>
        <w:gridCol w:w="5292"/>
      </w:tblGrid>
      <w:tr w:rsidR="00150EF0" w:rsidRPr="00E61650" w:rsidTr="009C3F24">
        <w:trPr>
          <w:trHeight w:val="317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50" w:rsidRPr="00E61650" w:rsidRDefault="00150EF0" w:rsidP="009C3F24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4" w:tgtFrame="_blank" w:tooltip="2021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2022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01/07/2022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– 31/12/2022)</w:t>
              </w:r>
            </w:hyperlink>
          </w:p>
        </w:tc>
      </w:tr>
      <w:tr w:rsidR="00150EF0" w:rsidRPr="00E61650" w:rsidTr="009C3F24">
        <w:trPr>
          <w:trHeight w:val="317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50" w:rsidRPr="00E61650" w:rsidRDefault="00150EF0" w:rsidP="009C3F24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5" w:tgtFrame="_blank" w:tooltip="2021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2022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01/01/2022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- 30/06/2022)</w:t>
              </w:r>
            </w:hyperlink>
          </w:p>
        </w:tc>
      </w:tr>
      <w:tr w:rsidR="00150EF0" w:rsidRPr="00E61650" w:rsidTr="009C3F24">
        <w:trPr>
          <w:trHeight w:val="317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50" w:rsidRPr="00E61650" w:rsidRDefault="00150EF0" w:rsidP="009C3F24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6" w:tgtFrame="_blank" w:tooltip="2021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2021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01/01/2021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- 31/12/2021)</w:t>
              </w:r>
            </w:hyperlink>
          </w:p>
        </w:tc>
      </w:tr>
      <w:tr w:rsidR="00150EF0" w:rsidRPr="00E61650" w:rsidTr="009C3F24">
        <w:trPr>
          <w:trHeight w:val="317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50" w:rsidRPr="00E61650" w:rsidRDefault="00150EF0" w:rsidP="009C3F24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7" w:tgtFrame="_blank" w:tooltip="2020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2020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01/01/2020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- 31/12/2020)</w:t>
              </w:r>
            </w:hyperlink>
          </w:p>
        </w:tc>
      </w:tr>
      <w:tr w:rsidR="00150EF0" w:rsidRPr="00E61650" w:rsidTr="009C3F24">
        <w:trPr>
          <w:trHeight w:val="317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650" w:rsidRPr="00E61650" w:rsidRDefault="00150EF0" w:rsidP="009C3F24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8" w:tgtFrame="_blank" w:tooltip="2019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2019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01/01/2019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- 31/12/2019)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9" w:tgtFrame="_blank" w:tooltip="2018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2018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01/01/2018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- 31/12/2018)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0" w:tgtFrame="_blank" w:tooltip="2017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2017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01/01/2017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- 31/12/2017)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1" w:tgtFrame="_blank" w:tooltip="2016_onik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2016 (</w:t>
              </w:r>
              <w:proofErr w:type="gramStart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01/01/2016</w:t>
              </w:r>
              <w:proofErr w:type="gramEnd"/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 xml:space="preserve"> - 31/12/2016</w:t>
              </w:r>
            </w:hyperlink>
            <w:r w:rsidRPr="00E61650">
              <w:rPr>
                <w:rFonts w:ascii="inherit" w:eastAsia="Times New Roman" w:hAnsi="inherit" w:cs="Tahoma"/>
                <w:color w:val="333333"/>
                <w:sz w:val="16"/>
                <w:szCs w:val="16"/>
                <w:bdr w:val="none" w:sz="0" w:space="0" w:color="auto" w:frame="1"/>
                <w:lang w:eastAsia="tr-TR"/>
              </w:rPr>
              <w:t>)</w:t>
            </w:r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2" w:tgtFrame="_blank" w:tooltip="2015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2015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3" w:tgtFrame="_blank" w:tooltip="2015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2015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4" w:tgtFrame="_blank" w:tooltip="2014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2014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5" w:tgtFrame="_blank" w:tooltip="2014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2014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6" w:tgtFrame="_blank" w:tooltip="2013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2013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7" w:tgtFrame="_blank" w:tooltip="2013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2013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8" w:tgtFrame="_blank" w:tooltip="2012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2012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19" w:tgtFrame="_blank" w:tooltip="2012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2012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0" w:tgtFrame="_blank" w:tooltip="2011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2011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1" w:tgtFrame="_blank" w:tooltip="2011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2011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2" w:tgtFrame="_blank" w:tooltip="2010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2010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3" w:tgtFrame="_blank" w:tooltip="2010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2010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4" w:tgtFrame="_blank" w:tooltip="2009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2009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5" w:tgtFrame="_blank" w:tooltip="2009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2009 1.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6" w:tgtFrame="_blank" w:tooltip="2008_ik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2008 2. Altı Ay</w:t>
              </w:r>
            </w:hyperlink>
          </w:p>
        </w:tc>
      </w:tr>
      <w:tr w:rsidR="00150EF0" w:rsidRPr="00E61650" w:rsidTr="009C3F24">
        <w:trPr>
          <w:trHeight w:val="158"/>
        </w:trPr>
        <w:tc>
          <w:tcPr>
            <w:tcW w:w="0" w:type="auto"/>
            <w:tcBorders>
              <w:top w:val="single" w:sz="2" w:space="0" w:color="DEE2E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EF0" w:rsidRPr="00E61650" w:rsidRDefault="00150EF0" w:rsidP="009C3F24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tr-TR"/>
              </w:rPr>
            </w:pPr>
            <w:hyperlink r:id="rId27" w:tgtFrame="_blank" w:tooltip="2008_birincialtiay.pdf" w:history="1">
              <w:r w:rsidRPr="00150EF0">
                <w:rPr>
                  <w:rFonts w:ascii="inherit" w:eastAsia="Times New Roman" w:hAnsi="inherit" w:cs="Tahoma"/>
                  <w:color w:val="000000"/>
                  <w:sz w:val="16"/>
                  <w:szCs w:val="16"/>
                  <w:lang w:eastAsia="tr-TR"/>
                </w:rPr>
                <w:t>Asgari Ücretin Net Hesabı ve İşverene Maliyeti: 2008 1. Altı Ay</w:t>
              </w:r>
            </w:hyperlink>
          </w:p>
        </w:tc>
      </w:tr>
    </w:tbl>
    <w:p w:rsidR="00B869E1" w:rsidRDefault="00B869E1"/>
    <w:sectPr w:rsidR="00B869E1" w:rsidSect="00B8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95E66"/>
    <w:rsid w:val="00150EF0"/>
    <w:rsid w:val="00195E66"/>
    <w:rsid w:val="00982A80"/>
    <w:rsid w:val="00B869E1"/>
    <w:rsid w:val="00F5285E"/>
    <w:rsid w:val="00F7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F0"/>
  </w:style>
  <w:style w:type="paragraph" w:styleId="Balk1">
    <w:name w:val="heading 1"/>
    <w:basedOn w:val="Normal"/>
    <w:link w:val="Balk1Char"/>
    <w:uiPriority w:val="9"/>
    <w:qFormat/>
    <w:rsid w:val="00195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link w:val="Balk4Char"/>
    <w:uiPriority w:val="9"/>
    <w:qFormat/>
    <w:rsid w:val="00195E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5E6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95E6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5E6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95E66"/>
    <w:rPr>
      <w:b/>
      <w:bCs/>
    </w:rPr>
  </w:style>
  <w:style w:type="paragraph" w:styleId="AralkYok">
    <w:name w:val="No Spacing"/>
    <w:uiPriority w:val="1"/>
    <w:qFormat/>
    <w:rsid w:val="00195E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519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9804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gb.gov.tr/media/3278/2019_onikiay.pdf" TargetMode="External"/><Relationship Id="rId13" Type="http://schemas.openxmlformats.org/officeDocument/2006/relationships/hyperlink" Target="https://www.csgb.gov.tr/media/1232/2015_birincialtiay.pdf" TargetMode="External"/><Relationship Id="rId18" Type="http://schemas.openxmlformats.org/officeDocument/2006/relationships/hyperlink" Target="https://www.csgb.gov.tr/media/1227/2012_ikincialtiay.pdf" TargetMode="External"/><Relationship Id="rId26" Type="http://schemas.openxmlformats.org/officeDocument/2006/relationships/hyperlink" Target="https://www.csgb.gov.tr/media/1219/2008_ikincialtiay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sgb.gov.tr/media/1224/2011_birincialtiay.pdf" TargetMode="External"/><Relationship Id="rId7" Type="http://schemas.openxmlformats.org/officeDocument/2006/relationships/hyperlink" Target="https://www.csgb.gov.tr/media/64962/2020_onikiay.pdf" TargetMode="External"/><Relationship Id="rId12" Type="http://schemas.openxmlformats.org/officeDocument/2006/relationships/hyperlink" Target="https://www.csgb.gov.tr/media/1233/2015_ikincialtiay.pdf" TargetMode="External"/><Relationship Id="rId17" Type="http://schemas.openxmlformats.org/officeDocument/2006/relationships/hyperlink" Target="https://www.csgb.gov.tr/media/1228/2013_birincialtiay.pdf" TargetMode="External"/><Relationship Id="rId25" Type="http://schemas.openxmlformats.org/officeDocument/2006/relationships/hyperlink" Target="https://www.csgb.gov.tr/media/1220/2009_birincialtiay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sgb.gov.tr/media/1229/2013_ikincialtiay.pdf" TargetMode="External"/><Relationship Id="rId20" Type="http://schemas.openxmlformats.org/officeDocument/2006/relationships/hyperlink" Target="https://www.csgb.gov.tr/media/1225/2011_ikincialtiay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sgb.gov.tr/media/87829/asgari-ucret-2021.pdf" TargetMode="External"/><Relationship Id="rId11" Type="http://schemas.openxmlformats.org/officeDocument/2006/relationships/hyperlink" Target="https://www.csgb.gov.tr/media/1234/2016_onikiay.pdf" TargetMode="External"/><Relationship Id="rId24" Type="http://schemas.openxmlformats.org/officeDocument/2006/relationships/hyperlink" Target="https://www.csgb.gov.tr/media/1221/2009_ikincialtiay.pdf" TargetMode="External"/><Relationship Id="rId5" Type="http://schemas.openxmlformats.org/officeDocument/2006/relationships/hyperlink" Target="https://www.csgb.gov.tr/media/89379/2022_birincialtiay.pdf" TargetMode="External"/><Relationship Id="rId15" Type="http://schemas.openxmlformats.org/officeDocument/2006/relationships/hyperlink" Target="https://www.csgb.gov.tr/media/1230/2014_birincialtiay.pdf" TargetMode="External"/><Relationship Id="rId23" Type="http://schemas.openxmlformats.org/officeDocument/2006/relationships/hyperlink" Target="https://www.csgb.gov.tr/media/1222/2010_birincialtiay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sgb.gov.tr/media/1235/2017_onikiay.pdf" TargetMode="External"/><Relationship Id="rId19" Type="http://schemas.openxmlformats.org/officeDocument/2006/relationships/hyperlink" Target="https://www.csgb.gov.tr/media/1226/2012_birincialtiay.pdf" TargetMode="External"/><Relationship Id="rId4" Type="http://schemas.openxmlformats.org/officeDocument/2006/relationships/hyperlink" Target="https://www.csgb.gov.tr/media/90338/2022-tem.pdf" TargetMode="External"/><Relationship Id="rId9" Type="http://schemas.openxmlformats.org/officeDocument/2006/relationships/hyperlink" Target="https://www.csgb.gov.tr/media/1236/2018_onikiay.pdf" TargetMode="External"/><Relationship Id="rId14" Type="http://schemas.openxmlformats.org/officeDocument/2006/relationships/hyperlink" Target="https://www.csgb.gov.tr/media/1231/2014_ikincialtiay.pdf" TargetMode="External"/><Relationship Id="rId22" Type="http://schemas.openxmlformats.org/officeDocument/2006/relationships/hyperlink" Target="https://www.csgb.gov.tr/media/1223/2010_ikincialtiay.pdf" TargetMode="External"/><Relationship Id="rId27" Type="http://schemas.openxmlformats.org/officeDocument/2006/relationships/hyperlink" Target="https://www.csgb.gov.tr/media/1218/2008_birincialtiay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4</cp:revision>
  <dcterms:created xsi:type="dcterms:W3CDTF">2022-12-23T07:21:00Z</dcterms:created>
  <dcterms:modified xsi:type="dcterms:W3CDTF">2022-12-28T12:09:00Z</dcterms:modified>
</cp:coreProperties>
</file>