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CA" w:rsidRPr="00227FCA" w:rsidRDefault="00227FCA" w:rsidP="00227FCA">
      <w:pPr>
        <w:numPr>
          <w:ilvl w:val="0"/>
          <w:numId w:val="1"/>
        </w:numPr>
        <w:shd w:val="clear" w:color="auto" w:fill="96358C"/>
        <w:spacing w:before="100" w:beforeAutospacing="1" w:after="100" w:afterAutospacing="1" w:line="240" w:lineRule="auto"/>
        <w:ind w:left="488"/>
        <w:rPr>
          <w:rFonts w:ascii="Arial" w:eastAsia="Times New Roman" w:hAnsi="Arial" w:cs="Arial"/>
          <w:color w:val="DFB444"/>
          <w:sz w:val="25"/>
          <w:szCs w:val="25"/>
          <w:lang w:eastAsia="tr-TR"/>
        </w:rPr>
      </w:pPr>
      <w:r w:rsidRPr="00227FCA">
        <w:rPr>
          <w:rFonts w:ascii="Arial" w:eastAsia="Times New Roman" w:hAnsi="Arial" w:cs="Arial"/>
          <w:color w:val="DFB444"/>
          <w:sz w:val="25"/>
          <w:szCs w:val="25"/>
          <w:lang w:eastAsia="tr-TR"/>
        </w:rPr>
        <w:fldChar w:fldCharType="begin"/>
      </w:r>
      <w:r w:rsidRPr="00227FCA">
        <w:rPr>
          <w:rFonts w:ascii="Arial" w:eastAsia="Times New Roman" w:hAnsi="Arial" w:cs="Arial"/>
          <w:color w:val="DFB444"/>
          <w:sz w:val="25"/>
          <w:szCs w:val="25"/>
          <w:lang w:eastAsia="tr-TR"/>
        </w:rPr>
        <w:instrText xml:space="preserve"> HYPERLINK "https://www.anayasa.gov.tr/tr/haberler/bireysel-basvuru-basin-duyurulari/" </w:instrText>
      </w:r>
      <w:r w:rsidRPr="00227FCA">
        <w:rPr>
          <w:rFonts w:ascii="Arial" w:eastAsia="Times New Roman" w:hAnsi="Arial" w:cs="Arial"/>
          <w:color w:val="DFB444"/>
          <w:sz w:val="25"/>
          <w:szCs w:val="25"/>
          <w:lang w:eastAsia="tr-TR"/>
        </w:rPr>
        <w:fldChar w:fldCharType="separate"/>
      </w:r>
      <w:r w:rsidRPr="00227FCA">
        <w:rPr>
          <w:rFonts w:ascii="Arial" w:eastAsia="Times New Roman" w:hAnsi="Arial" w:cs="Arial"/>
          <w:b/>
          <w:bCs/>
          <w:color w:val="DFB444"/>
          <w:lang w:eastAsia="tr-TR"/>
        </w:rPr>
        <w:t>Bireysel Başvuru Basın Duyuruları</w:t>
      </w:r>
      <w:r w:rsidRPr="00227FCA">
        <w:rPr>
          <w:rFonts w:ascii="Arial" w:eastAsia="Times New Roman" w:hAnsi="Arial" w:cs="Arial"/>
          <w:color w:val="DFB444"/>
          <w:sz w:val="25"/>
          <w:szCs w:val="25"/>
          <w:lang w:eastAsia="tr-TR"/>
        </w:rPr>
        <w:fldChar w:fldCharType="end"/>
      </w:r>
    </w:p>
    <w:p w:rsidR="00227FCA" w:rsidRPr="00227FCA" w:rsidRDefault="00227FCA" w:rsidP="00227FCA">
      <w:pPr>
        <w:spacing w:after="0" w:line="240" w:lineRule="auto"/>
        <w:jc w:val="center"/>
        <w:rPr>
          <w:rFonts w:ascii="Arial" w:eastAsia="Times New Roman" w:hAnsi="Arial" w:cs="Arial"/>
          <w:color w:val="424242"/>
          <w:sz w:val="25"/>
          <w:szCs w:val="25"/>
          <w:lang w:eastAsia="tr-TR"/>
        </w:rPr>
      </w:pPr>
      <w:r>
        <w:rPr>
          <w:rFonts w:ascii="Arial" w:eastAsia="Times New Roman" w:hAnsi="Arial" w:cs="Arial"/>
          <w:noProof/>
          <w:color w:val="424242"/>
          <w:sz w:val="25"/>
          <w:szCs w:val="25"/>
          <w:lang w:eastAsia="tr-TR"/>
        </w:rPr>
        <w:drawing>
          <wp:inline distT="0" distB="0" distL="0" distR="0">
            <wp:extent cx="1140460" cy="1140460"/>
            <wp:effectExtent l="0" t="0" r="0" b="0"/>
            <wp:docPr id="1" name="Resim 1" descr="https://www.anayasa.gov.tr/images/fo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ayasa.gov.tr/images/fotlogo.png"/>
                    <pic:cNvPicPr>
                      <a:picLocks noChangeAspect="1" noChangeArrowheads="1"/>
                    </pic:cNvPicPr>
                  </pic:nvPicPr>
                  <pic:blipFill>
                    <a:blip r:embed="rId5"/>
                    <a:srcRect/>
                    <a:stretch>
                      <a:fillRect/>
                    </a:stretch>
                  </pic:blipFill>
                  <pic:spPr bwMode="auto">
                    <a:xfrm>
                      <a:off x="0" y="0"/>
                      <a:ext cx="1140460" cy="1140460"/>
                    </a:xfrm>
                    <a:prstGeom prst="rect">
                      <a:avLst/>
                    </a:prstGeom>
                    <a:noFill/>
                    <a:ln w="9525">
                      <a:noFill/>
                      <a:miter lim="800000"/>
                      <a:headEnd/>
                      <a:tailEnd/>
                    </a:ln>
                  </pic:spPr>
                </pic:pic>
              </a:graphicData>
            </a:graphic>
          </wp:inline>
        </w:drawing>
      </w:r>
    </w:p>
    <w:p w:rsidR="00227FCA" w:rsidRPr="00227FCA" w:rsidRDefault="00227FCA" w:rsidP="00227FCA">
      <w:pPr>
        <w:spacing w:after="100" w:afterAutospacing="1" w:line="387" w:lineRule="atLeast"/>
        <w:jc w:val="center"/>
        <w:rPr>
          <w:rFonts w:ascii="Arial" w:eastAsia="Times New Roman" w:hAnsi="Arial" w:cs="Arial"/>
          <w:b/>
          <w:bCs/>
          <w:color w:val="323232"/>
          <w:lang w:eastAsia="tr-TR"/>
        </w:rPr>
      </w:pPr>
      <w:r w:rsidRPr="00227FCA">
        <w:rPr>
          <w:rFonts w:ascii="Arial" w:eastAsia="Times New Roman" w:hAnsi="Arial" w:cs="Arial"/>
          <w:b/>
          <w:bCs/>
          <w:color w:val="323232"/>
          <w:lang w:eastAsia="tr-TR"/>
        </w:rPr>
        <w:t>BASIN DUYURUSU</w:t>
      </w:r>
    </w:p>
    <w:p w:rsidR="00227FCA" w:rsidRPr="00227FCA" w:rsidRDefault="00227FCA" w:rsidP="00227FCA">
      <w:pPr>
        <w:spacing w:after="100" w:afterAutospacing="1" w:line="387" w:lineRule="atLeast"/>
        <w:jc w:val="center"/>
        <w:rPr>
          <w:rFonts w:ascii="Arial" w:eastAsia="Times New Roman" w:hAnsi="Arial" w:cs="Arial"/>
          <w:b/>
          <w:bCs/>
          <w:color w:val="323232"/>
          <w:lang w:eastAsia="tr-TR"/>
        </w:rPr>
      </w:pPr>
      <w:r w:rsidRPr="00227FCA">
        <w:rPr>
          <w:rFonts w:ascii="Arial" w:eastAsia="Times New Roman" w:hAnsi="Arial" w:cs="Arial"/>
          <w:b/>
          <w:bCs/>
          <w:color w:val="323232"/>
          <w:lang w:eastAsia="tr-TR"/>
        </w:rPr>
        <w:t>23.6.2021</w:t>
      </w:r>
    </w:p>
    <w:p w:rsidR="00227FCA" w:rsidRPr="00227FCA" w:rsidRDefault="00227FCA" w:rsidP="00227FCA">
      <w:pPr>
        <w:spacing w:after="100" w:afterAutospacing="1" w:line="387" w:lineRule="atLeast"/>
        <w:jc w:val="center"/>
        <w:rPr>
          <w:rFonts w:ascii="Arial" w:eastAsia="Times New Roman" w:hAnsi="Arial" w:cs="Arial"/>
          <w:b/>
          <w:bCs/>
          <w:color w:val="323232"/>
          <w:lang w:eastAsia="tr-TR"/>
        </w:rPr>
      </w:pPr>
      <w:r w:rsidRPr="00227FCA">
        <w:rPr>
          <w:rFonts w:ascii="Arial" w:eastAsia="Times New Roman" w:hAnsi="Arial" w:cs="Arial"/>
          <w:b/>
          <w:bCs/>
          <w:color w:val="323232"/>
          <w:lang w:eastAsia="tr-TR"/>
        </w:rPr>
        <w:t>BB 43/21</w:t>
      </w:r>
    </w:p>
    <w:p w:rsidR="00227FCA" w:rsidRPr="00227FCA" w:rsidRDefault="00227FCA" w:rsidP="00227FCA">
      <w:pPr>
        <w:spacing w:after="100" w:afterAutospacing="1" w:line="387" w:lineRule="atLeast"/>
        <w:jc w:val="center"/>
        <w:rPr>
          <w:rFonts w:ascii="Arial" w:eastAsia="Times New Roman" w:hAnsi="Arial" w:cs="Arial"/>
          <w:color w:val="323232"/>
          <w:lang w:eastAsia="tr-TR"/>
        </w:rPr>
      </w:pPr>
      <w:r w:rsidRPr="00227FCA">
        <w:rPr>
          <w:rFonts w:ascii="Arial" w:eastAsia="Times New Roman" w:hAnsi="Arial" w:cs="Arial"/>
          <w:b/>
          <w:bCs/>
          <w:color w:val="323232"/>
          <w:lang w:eastAsia="tr-TR"/>
        </w:rPr>
        <w:t>Kooperatif Yönetimine Yönelik İfadelerden Dolayı Manevi Tazminata Hükmedilmesi Nedeniyle İfade Özgürlüğünün İhlal Edilmesi</w:t>
      </w:r>
    </w:p>
    <w:tbl>
      <w:tblPr>
        <w:tblW w:w="5000" w:type="pct"/>
        <w:tblCellMar>
          <w:top w:w="15" w:type="dxa"/>
          <w:left w:w="15" w:type="dxa"/>
          <w:bottom w:w="15" w:type="dxa"/>
          <w:right w:w="15" w:type="dxa"/>
        </w:tblCellMar>
        <w:tblLook w:val="04A0"/>
      </w:tblPr>
      <w:tblGrid>
        <w:gridCol w:w="9102"/>
      </w:tblGrid>
      <w:tr w:rsidR="00227FCA" w:rsidRPr="00227FCA" w:rsidTr="00227FCA">
        <w:tc>
          <w:tcPr>
            <w:tcW w:w="0" w:type="auto"/>
            <w:vAlign w:val="center"/>
            <w:hideMark/>
          </w:tcPr>
          <w:p w:rsidR="00227FCA" w:rsidRPr="00227FCA" w:rsidRDefault="00227FCA" w:rsidP="00227FCA">
            <w:pPr>
              <w:spacing w:after="100" w:afterAutospacing="1" w:line="387" w:lineRule="atLeast"/>
              <w:jc w:val="both"/>
              <w:rPr>
                <w:rFonts w:ascii="Times New Roman" w:eastAsia="Times New Roman" w:hAnsi="Times New Roman" w:cs="Times New Roman"/>
                <w:color w:val="323232"/>
                <w:lang w:eastAsia="tr-TR"/>
              </w:rPr>
            </w:pPr>
            <w:r w:rsidRPr="00227FCA">
              <w:rPr>
                <w:rFonts w:ascii="Times New Roman" w:eastAsia="Times New Roman" w:hAnsi="Times New Roman" w:cs="Times New Roman"/>
                <w:color w:val="323232"/>
                <w:lang w:eastAsia="tr-TR"/>
              </w:rPr>
              <w:t xml:space="preserve">Anayasa Mahkemesi Birinci Bölümü </w:t>
            </w:r>
            <w:proofErr w:type="gramStart"/>
            <w:r w:rsidRPr="00227FCA">
              <w:rPr>
                <w:rFonts w:ascii="Times New Roman" w:eastAsia="Times New Roman" w:hAnsi="Times New Roman" w:cs="Times New Roman"/>
                <w:color w:val="323232"/>
                <w:lang w:eastAsia="tr-TR"/>
              </w:rPr>
              <w:t>21/4/2021</w:t>
            </w:r>
            <w:proofErr w:type="gramEnd"/>
            <w:r w:rsidRPr="00227FCA">
              <w:rPr>
                <w:rFonts w:ascii="Times New Roman" w:eastAsia="Times New Roman" w:hAnsi="Times New Roman" w:cs="Times New Roman"/>
                <w:color w:val="323232"/>
                <w:lang w:eastAsia="tr-TR"/>
              </w:rPr>
              <w:t xml:space="preserve"> tarihinde, </w:t>
            </w:r>
            <w:hyperlink r:id="rId6" w:tgtFrame="_blank" w:history="1">
              <w:r w:rsidRPr="00227FCA">
                <w:rPr>
                  <w:rFonts w:ascii="Times New Roman" w:eastAsia="Times New Roman" w:hAnsi="Times New Roman" w:cs="Times New Roman"/>
                  <w:i/>
                  <w:iCs/>
                  <w:color w:val="007BFF"/>
                  <w:u w:val="single"/>
                  <w:lang w:eastAsia="tr-TR"/>
                </w:rPr>
                <w:t>Çelebi Kutlu</w:t>
              </w:r>
            </w:hyperlink>
            <w:r w:rsidRPr="00227FCA">
              <w:rPr>
                <w:rFonts w:ascii="Times New Roman" w:eastAsia="Times New Roman" w:hAnsi="Times New Roman" w:cs="Times New Roman"/>
                <w:color w:val="323232"/>
                <w:lang w:eastAsia="tr-TR"/>
              </w:rPr>
              <w:t> (B. No: 2017/38612) başvurusunda, Anayasa’nın 26. maddesinde güvence altına alınan ifade özgürlüğünün ihlal edildiğine karar vermiştir.</w:t>
            </w:r>
          </w:p>
        </w:tc>
      </w:tr>
    </w:tbl>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b/>
          <w:bCs/>
          <w:color w:val="323232"/>
          <w:lang w:eastAsia="tr-TR"/>
        </w:rPr>
        <w:t>Olaylar </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t>Başvurucu ile birlikte bir kısım Kooperatif üyesi, Kooperatif yöneticilerinin zimmet, görevi kötüye kullanma ve Kooperatifler Kanunu’na muhalefet suçlarını işlediklerinden bahisle şikâyetçi olmuştur. Cumhuriyet Başsavcılığınca (Başsavcılık)  şüpheliler hakkında soruşturma yürütülmüş ve bu soruşturma sonucunda kovuşturmaya yer olmadığı kararı verilmiştir. Bunun üzerine ilgili Kooperatif yöneticilerinin açtığı manevi tazminat davası sonucunda Asliye Hukuk Mahkemesince (Mahkeme) şikâyet dilekçesinde yer alan ve genel kurul toplantılarında dile getirilen bazı ifadeler nedeniyle içinde başvurucunun da bulunduğu davalı Kooperatif üyelerinin davacılara toplam 15.000 TL manevi tazminat ödemesine karar verilmiştir. Başvurucuların istinaf talebi Bölge Adliye Mahkemesi tarafından esastan reddedilmiştir.</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b/>
          <w:bCs/>
          <w:color w:val="323232"/>
          <w:lang w:eastAsia="tr-TR"/>
        </w:rPr>
        <w:t>İddialar </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t>Başvurucu, yazdığı dilekçede yer alan sözleri ve bazı beyanları nedeniyle tazminat ödemeye mahkûm edilmesi nedeniyle ifade özgürlüğünün ihlal edildiğini ileri sürmüştür.</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b/>
          <w:bCs/>
          <w:color w:val="323232"/>
          <w:lang w:eastAsia="tr-TR"/>
        </w:rPr>
        <w:t>Mahkemenin Değerlendirmesi </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lastRenderedPageBreak/>
        <w:t>Somut olayda başvurucu tarafından kullanılan ifadelerin veya yöneltilen suçlamaların muhatabına rahatsızlık veren saldırgan ifadeler olduğu kabul edilebilir. Başvuru konusu sözlerin Kooperatif üyesi olan başvurucu ve diğer davalıların 25 yıl gibi uzun bir süre geçmesine karşın Kooperatif amacının henüz gerçekleşmemiş olmasına yönelik kızgınlıklarının ve sorgulamalarının birer ifadesi olarak anlaşılması gerekir. Başvurucu, dilekçedeki sert sözleri somut bir isim belirtmeksizin genel olarak </w:t>
      </w:r>
      <w:r w:rsidRPr="00227FCA">
        <w:rPr>
          <w:rFonts w:ascii="Arial" w:eastAsia="Times New Roman" w:hAnsi="Arial" w:cs="Arial"/>
          <w:i/>
          <w:iCs/>
          <w:color w:val="323232"/>
          <w:lang w:eastAsia="tr-TR"/>
        </w:rPr>
        <w:t>Kooperatif yöneticilerine</w:t>
      </w:r>
      <w:r w:rsidRPr="00227FCA">
        <w:rPr>
          <w:rFonts w:ascii="Arial" w:eastAsia="Times New Roman" w:hAnsi="Arial" w:cs="Arial"/>
          <w:color w:val="323232"/>
          <w:lang w:eastAsia="tr-TR"/>
        </w:rPr>
        <w:t> yöneltmekte ve Kooperatifin başarısızlığı sebebiyle belirli kişileri değil yönetimi suçlamaktadır.</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t xml:space="preserve">Kişilerin kamu makamlarına şikâyet dilekçesi vermesi, bu dilekçe sonucu şikâyet edilenlerin ceza almalarını şart olarak gerektirmez. Bu kapsamda şikâyet dilekçesi sonucu kamu davası açılmasının ya da mahkûmiyet kararı verilmesinin aranması, hak arama özgürlüğünü son derece daraltır. Bu hususun iddia ve savunma dokunulmazlığı ve ifade özgürlüğü ile şeref ve itibarın korunması hakkı arasında adil bir denge sağlanırken dikkatle </w:t>
      </w:r>
      <w:proofErr w:type="spellStart"/>
      <w:r w:rsidRPr="00227FCA">
        <w:rPr>
          <w:rFonts w:ascii="Arial" w:eastAsia="Times New Roman" w:hAnsi="Arial" w:cs="Arial"/>
          <w:color w:val="323232"/>
          <w:lang w:eastAsia="tr-TR"/>
        </w:rPr>
        <w:t>gözönünde</w:t>
      </w:r>
      <w:proofErr w:type="spellEnd"/>
      <w:r w:rsidRPr="00227FCA">
        <w:rPr>
          <w:rFonts w:ascii="Arial" w:eastAsia="Times New Roman" w:hAnsi="Arial" w:cs="Arial"/>
          <w:color w:val="323232"/>
          <w:lang w:eastAsia="tr-TR"/>
        </w:rPr>
        <w:t xml:space="preserve"> bulundurulması gerekir.</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t xml:space="preserve">Yukarıdaki açıklamalar çerçevesinde derece mahkemelerinin somut olayın kendine özgü şartlarını </w:t>
      </w:r>
      <w:proofErr w:type="spellStart"/>
      <w:r w:rsidRPr="00227FCA">
        <w:rPr>
          <w:rFonts w:ascii="Arial" w:eastAsia="Times New Roman" w:hAnsi="Arial" w:cs="Arial"/>
          <w:color w:val="323232"/>
          <w:lang w:eastAsia="tr-TR"/>
        </w:rPr>
        <w:t>gözönüne</w:t>
      </w:r>
      <w:proofErr w:type="spellEnd"/>
      <w:r w:rsidRPr="00227FCA">
        <w:rPr>
          <w:rFonts w:ascii="Arial" w:eastAsia="Times New Roman" w:hAnsi="Arial" w:cs="Arial"/>
          <w:color w:val="323232"/>
          <w:lang w:eastAsia="tr-TR"/>
        </w:rPr>
        <w:t xml:space="preserve"> alarak başvurucunun şikâyetini sırf üçüncü kişilere zarar vermek amacıyla yapıp yapmadığını yeterince değerlendirmedikleri kanaatine ulaşılmıştır. Mahkemeler, başvurucunun ifade özgürlüğü ile davacıların şeref ve itibarın korunması hakları arasında adil bir denge kuramamıştır.</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t>Olaylara bir bütün olarak yaklaşıldığında başvurucunun ifade özgürlüğüne yapılan müdahale zorunlu bir ihtiyacı karşılamadığı için demokratik toplum düzeninin gereklerine uygun bir müdahale olarak kabul edilemez.</w:t>
      </w:r>
    </w:p>
    <w:p w:rsidR="00227FCA" w:rsidRPr="00227FCA" w:rsidRDefault="00227FCA" w:rsidP="00227FCA">
      <w:pPr>
        <w:spacing w:after="100" w:afterAutospacing="1" w:line="387" w:lineRule="atLeast"/>
        <w:ind w:firstLine="465"/>
        <w:jc w:val="both"/>
        <w:rPr>
          <w:rFonts w:ascii="Arial" w:eastAsia="Times New Roman" w:hAnsi="Arial" w:cs="Arial"/>
          <w:color w:val="323232"/>
          <w:lang w:eastAsia="tr-TR"/>
        </w:rPr>
      </w:pPr>
      <w:r w:rsidRPr="00227FCA">
        <w:rPr>
          <w:rFonts w:ascii="Arial" w:eastAsia="Times New Roman" w:hAnsi="Arial" w:cs="Arial"/>
          <w:color w:val="323232"/>
          <w:lang w:eastAsia="tr-TR"/>
        </w:rPr>
        <w:t>Anayasa Mahkemesi açıklanan gerekçelerle ifade özgürlüğünün ihlal edildiğine karar vermiştir.</w:t>
      </w:r>
    </w:p>
    <w:p w:rsidR="00B163EB" w:rsidRDefault="00B163EB"/>
    <w:sectPr w:rsidR="00B163EB" w:rsidSect="00B16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27AD"/>
    <w:multiLevelType w:val="multilevel"/>
    <w:tmpl w:val="2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27FCA"/>
    <w:rsid w:val="00227FCA"/>
    <w:rsid w:val="00B163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3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27FCA"/>
    <w:rPr>
      <w:color w:val="0000FF"/>
      <w:u w:val="single"/>
    </w:rPr>
  </w:style>
  <w:style w:type="paragraph" w:styleId="NormalWeb">
    <w:name w:val="Normal (Web)"/>
    <w:basedOn w:val="Normal"/>
    <w:uiPriority w:val="99"/>
    <w:unhideWhenUsed/>
    <w:rsid w:val="00227F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27FCA"/>
    <w:rPr>
      <w:b/>
      <w:bCs/>
    </w:rPr>
  </w:style>
  <w:style w:type="character" w:styleId="Vurgu">
    <w:name w:val="Emphasis"/>
    <w:basedOn w:val="VarsaylanParagrafYazTipi"/>
    <w:uiPriority w:val="20"/>
    <w:qFormat/>
    <w:rsid w:val="00227FCA"/>
    <w:rPr>
      <w:i/>
      <w:iCs/>
    </w:rPr>
  </w:style>
  <w:style w:type="paragraph" w:styleId="BalonMetni">
    <w:name w:val="Balloon Text"/>
    <w:basedOn w:val="Normal"/>
    <w:link w:val="BalonMetniChar"/>
    <w:uiPriority w:val="99"/>
    <w:semiHidden/>
    <w:unhideWhenUsed/>
    <w:rsid w:val="00227F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7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880811">
      <w:bodyDiv w:val="1"/>
      <w:marLeft w:val="0"/>
      <w:marRight w:val="0"/>
      <w:marTop w:val="0"/>
      <w:marBottom w:val="0"/>
      <w:divBdr>
        <w:top w:val="none" w:sz="0" w:space="0" w:color="auto"/>
        <w:left w:val="none" w:sz="0" w:space="0" w:color="auto"/>
        <w:bottom w:val="none" w:sz="0" w:space="0" w:color="auto"/>
        <w:right w:val="none" w:sz="0" w:space="0" w:color="auto"/>
      </w:divBdr>
      <w:divsChild>
        <w:div w:id="584345508">
          <w:marLeft w:val="0"/>
          <w:marRight w:val="0"/>
          <w:marTop w:val="0"/>
          <w:marBottom w:val="0"/>
          <w:divBdr>
            <w:top w:val="none" w:sz="0" w:space="0" w:color="auto"/>
            <w:left w:val="none" w:sz="0" w:space="0" w:color="auto"/>
            <w:bottom w:val="none" w:sz="0" w:space="0" w:color="auto"/>
            <w:right w:val="none" w:sz="0" w:space="0" w:color="auto"/>
          </w:divBdr>
          <w:divsChild>
            <w:div w:id="1008797444">
              <w:marLeft w:val="-232"/>
              <w:marRight w:val="-232"/>
              <w:marTop w:val="0"/>
              <w:marBottom w:val="0"/>
              <w:divBdr>
                <w:top w:val="none" w:sz="0" w:space="0" w:color="auto"/>
                <w:left w:val="none" w:sz="0" w:space="0" w:color="auto"/>
                <w:bottom w:val="none" w:sz="0" w:space="0" w:color="auto"/>
                <w:right w:val="none" w:sz="0" w:space="0" w:color="auto"/>
              </w:divBdr>
              <w:divsChild>
                <w:div w:id="391929337">
                  <w:marLeft w:val="0"/>
                  <w:marRight w:val="0"/>
                  <w:marTop w:val="0"/>
                  <w:marBottom w:val="0"/>
                  <w:divBdr>
                    <w:top w:val="none" w:sz="0" w:space="0" w:color="auto"/>
                    <w:left w:val="none" w:sz="0" w:space="0" w:color="auto"/>
                    <w:bottom w:val="none" w:sz="0" w:space="0" w:color="auto"/>
                    <w:right w:val="none" w:sz="0" w:space="0" w:color="auto"/>
                  </w:divBdr>
                  <w:divsChild>
                    <w:div w:id="13838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5766">
          <w:marLeft w:val="0"/>
          <w:marRight w:val="0"/>
          <w:marTop w:val="0"/>
          <w:marBottom w:val="0"/>
          <w:divBdr>
            <w:top w:val="none" w:sz="0" w:space="0" w:color="auto"/>
            <w:left w:val="none" w:sz="0" w:space="0" w:color="auto"/>
            <w:bottom w:val="none" w:sz="0" w:space="0" w:color="auto"/>
            <w:right w:val="none" w:sz="0" w:space="0" w:color="auto"/>
          </w:divBdr>
          <w:divsChild>
            <w:div w:id="166291863">
              <w:marLeft w:val="-232"/>
              <w:marRight w:val="-232"/>
              <w:marTop w:val="0"/>
              <w:marBottom w:val="0"/>
              <w:divBdr>
                <w:top w:val="none" w:sz="0" w:space="0" w:color="auto"/>
                <w:left w:val="none" w:sz="0" w:space="0" w:color="auto"/>
                <w:bottom w:val="none" w:sz="0" w:space="0" w:color="auto"/>
                <w:right w:val="none" w:sz="0" w:space="0" w:color="auto"/>
              </w:divBdr>
              <w:divsChild>
                <w:div w:id="1371957335">
                  <w:marLeft w:val="0"/>
                  <w:marRight w:val="0"/>
                  <w:marTop w:val="0"/>
                  <w:marBottom w:val="0"/>
                  <w:divBdr>
                    <w:top w:val="none" w:sz="0" w:space="0" w:color="auto"/>
                    <w:left w:val="none" w:sz="0" w:space="0" w:color="auto"/>
                    <w:bottom w:val="none" w:sz="0" w:space="0" w:color="auto"/>
                    <w:right w:val="none" w:sz="0" w:space="0" w:color="auto"/>
                  </w:divBdr>
                  <w:divsChild>
                    <w:div w:id="1163931139">
                      <w:marLeft w:val="0"/>
                      <w:marRight w:val="0"/>
                      <w:marTop w:val="0"/>
                      <w:marBottom w:val="0"/>
                      <w:divBdr>
                        <w:top w:val="none" w:sz="0" w:space="0" w:color="auto"/>
                        <w:left w:val="none" w:sz="0" w:space="0" w:color="auto"/>
                        <w:bottom w:val="none" w:sz="0" w:space="0" w:color="auto"/>
                        <w:right w:val="none" w:sz="0" w:space="0" w:color="auto"/>
                      </w:divBdr>
                      <w:divsChild>
                        <w:div w:id="410080377">
                          <w:marLeft w:val="0"/>
                          <w:marRight w:val="0"/>
                          <w:marTop w:val="310"/>
                          <w:marBottom w:val="0"/>
                          <w:divBdr>
                            <w:top w:val="none" w:sz="0" w:space="0" w:color="auto"/>
                            <w:left w:val="none" w:sz="0" w:space="0" w:color="auto"/>
                            <w:bottom w:val="none" w:sz="0" w:space="0" w:color="auto"/>
                            <w:right w:val="none" w:sz="0" w:space="0" w:color="auto"/>
                          </w:divBdr>
                        </w:div>
                      </w:divsChild>
                    </w:div>
                    <w:div w:id="1468276600">
                      <w:marLeft w:val="0"/>
                      <w:marRight w:val="0"/>
                      <w:marTop w:val="0"/>
                      <w:marBottom w:val="0"/>
                      <w:divBdr>
                        <w:top w:val="none" w:sz="0" w:space="0" w:color="auto"/>
                        <w:left w:val="none" w:sz="0" w:space="0" w:color="auto"/>
                        <w:bottom w:val="none" w:sz="0" w:space="0" w:color="auto"/>
                        <w:right w:val="none" w:sz="0" w:space="0" w:color="auto"/>
                      </w:divBdr>
                      <w:divsChild>
                        <w:div w:id="1095901015">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arlarbilgibankasi.anayasa.gov.tr/BB/2017/3861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2023-02-03T12:24:00Z</dcterms:created>
  <dcterms:modified xsi:type="dcterms:W3CDTF">2023-02-03T12:25:00Z</dcterms:modified>
</cp:coreProperties>
</file>