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98" w:rsidRPr="00561098" w:rsidRDefault="00561098" w:rsidP="00561098">
      <w:pPr>
        <w:shd w:val="clear" w:color="auto" w:fill="FFFFFF"/>
        <w:spacing w:after="155" w:line="312" w:lineRule="atLeast"/>
        <w:outlineLvl w:val="3"/>
        <w:rPr>
          <w:rFonts w:ascii="roboto" w:eastAsia="Times New Roman" w:hAnsi="roboto" w:cs="Times New Roman"/>
          <w:b/>
          <w:bCs/>
          <w:color w:val="40454D"/>
          <w:sz w:val="23"/>
          <w:szCs w:val="23"/>
          <w:lang w:eastAsia="tr-TR"/>
        </w:rPr>
      </w:pPr>
      <w:r w:rsidRPr="00561098">
        <w:rPr>
          <w:rFonts w:ascii="roboto" w:eastAsia="Times New Roman" w:hAnsi="roboto" w:cs="Times New Roman"/>
          <w:b/>
          <w:bCs/>
          <w:color w:val="40454D"/>
          <w:sz w:val="23"/>
          <w:szCs w:val="23"/>
          <w:lang w:eastAsia="tr-TR"/>
        </w:rPr>
        <w:t xml:space="preserve">Maaş Ödemelerinin Banka Kanalıyla Ödenmesi Hakkında </w:t>
      </w:r>
      <w:proofErr w:type="spellStart"/>
      <w:r w:rsidRPr="00561098">
        <w:rPr>
          <w:rFonts w:ascii="roboto" w:eastAsia="Times New Roman" w:hAnsi="roboto" w:cs="Times New Roman"/>
          <w:b/>
          <w:bCs/>
          <w:color w:val="40454D"/>
          <w:sz w:val="23"/>
          <w:szCs w:val="23"/>
          <w:lang w:eastAsia="tr-TR"/>
        </w:rPr>
        <w:t>Özelge</w:t>
      </w:r>
      <w:proofErr w:type="spellEnd"/>
    </w:p>
    <w:p w:rsidR="00561098" w:rsidRPr="00561098" w:rsidRDefault="00561098" w:rsidP="00561098">
      <w:pPr>
        <w:shd w:val="clear" w:color="auto" w:fill="FFFFFF"/>
        <w:spacing w:after="310" w:line="240" w:lineRule="auto"/>
        <w:jc w:val="center"/>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TC</w:t>
      </w:r>
    </w:p>
    <w:p w:rsidR="00561098" w:rsidRPr="00561098" w:rsidRDefault="00561098" w:rsidP="00561098">
      <w:pPr>
        <w:shd w:val="clear" w:color="auto" w:fill="FFFFFF"/>
        <w:spacing w:after="310" w:line="240" w:lineRule="auto"/>
        <w:jc w:val="center"/>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GELİR İDARESİ BAŞKANLIĞI</w:t>
      </w:r>
    </w:p>
    <w:p w:rsidR="00561098" w:rsidRPr="00561098" w:rsidRDefault="00561098" w:rsidP="00561098">
      <w:pPr>
        <w:shd w:val="clear" w:color="auto" w:fill="FFFFFF"/>
        <w:spacing w:after="310" w:line="240" w:lineRule="auto"/>
        <w:jc w:val="center"/>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İzmir Vergi Dairesi Başkanlığı Gelir Kanunları Usul Grup Müdürlüğü</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Sayı: E-</w:t>
      </w:r>
      <w:proofErr w:type="gramStart"/>
      <w:r w:rsidRPr="00561098">
        <w:rPr>
          <w:rFonts w:ascii="roboto" w:eastAsia="Times New Roman" w:hAnsi="roboto" w:cs="Times New Roman"/>
          <w:color w:val="2D2D2D"/>
          <w:sz w:val="23"/>
          <w:szCs w:val="23"/>
          <w:lang w:eastAsia="tr-TR"/>
        </w:rPr>
        <w:t>67854564</w:t>
      </w:r>
      <w:proofErr w:type="gramEnd"/>
      <w:r w:rsidRPr="00561098">
        <w:rPr>
          <w:rFonts w:ascii="roboto" w:eastAsia="Times New Roman" w:hAnsi="roboto" w:cs="Times New Roman"/>
          <w:color w:val="2D2D2D"/>
          <w:sz w:val="23"/>
          <w:szCs w:val="23"/>
          <w:lang w:eastAsia="tr-TR"/>
        </w:rPr>
        <w:t>-105 [1741-8711] – 18670</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Konu: Maaş ödemelerinin banka kanalıyla ödenmesi </w:t>
      </w:r>
      <w:proofErr w:type="spellStart"/>
      <w:r w:rsidRPr="00561098">
        <w:rPr>
          <w:rFonts w:ascii="roboto" w:eastAsia="Times New Roman" w:hAnsi="roboto" w:cs="Times New Roman"/>
          <w:color w:val="2D2D2D"/>
          <w:sz w:val="23"/>
          <w:szCs w:val="23"/>
          <w:lang w:eastAsia="tr-TR"/>
        </w:rPr>
        <w:t>hk</w:t>
      </w:r>
      <w:proofErr w:type="spellEnd"/>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Tarih: 10.01 2023</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İlgi 06.01 2023 tarihli ve 31448 evrak kayıt numaralı </w:t>
      </w:r>
      <w:proofErr w:type="spellStart"/>
      <w:r w:rsidRPr="00561098">
        <w:rPr>
          <w:rFonts w:ascii="roboto" w:eastAsia="Times New Roman" w:hAnsi="roboto" w:cs="Times New Roman"/>
          <w:color w:val="2D2D2D"/>
          <w:sz w:val="23"/>
          <w:szCs w:val="23"/>
          <w:lang w:eastAsia="tr-TR"/>
        </w:rPr>
        <w:t>özelge</w:t>
      </w:r>
      <w:proofErr w:type="spellEnd"/>
      <w:r w:rsidRPr="00561098">
        <w:rPr>
          <w:rFonts w:ascii="roboto" w:eastAsia="Times New Roman" w:hAnsi="roboto" w:cs="Times New Roman"/>
          <w:color w:val="2D2D2D"/>
          <w:sz w:val="23"/>
          <w:szCs w:val="23"/>
          <w:lang w:eastAsia="tr-TR"/>
        </w:rPr>
        <w:t xml:space="preserve"> talep formunuz</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İlgide kayıtlı </w:t>
      </w:r>
      <w:proofErr w:type="spellStart"/>
      <w:r w:rsidRPr="00561098">
        <w:rPr>
          <w:rFonts w:ascii="roboto" w:eastAsia="Times New Roman" w:hAnsi="roboto" w:cs="Times New Roman"/>
          <w:color w:val="2D2D2D"/>
          <w:sz w:val="23"/>
          <w:szCs w:val="23"/>
          <w:lang w:eastAsia="tr-TR"/>
        </w:rPr>
        <w:t>özelge</w:t>
      </w:r>
      <w:proofErr w:type="spellEnd"/>
      <w:r w:rsidRPr="00561098">
        <w:rPr>
          <w:rFonts w:ascii="roboto" w:eastAsia="Times New Roman" w:hAnsi="roboto" w:cs="Times New Roman"/>
          <w:color w:val="2D2D2D"/>
          <w:sz w:val="23"/>
          <w:szCs w:val="23"/>
          <w:lang w:eastAsia="tr-TR"/>
        </w:rPr>
        <w:t xml:space="preserve"> talep formunda. </w:t>
      </w:r>
      <w:proofErr w:type="spellStart"/>
      <w:r w:rsidRPr="00561098">
        <w:rPr>
          <w:rFonts w:ascii="roboto" w:eastAsia="Times New Roman" w:hAnsi="roboto" w:cs="Times New Roman"/>
          <w:color w:val="2D2D2D"/>
          <w:sz w:val="23"/>
          <w:szCs w:val="23"/>
          <w:lang w:eastAsia="tr-TR"/>
        </w:rPr>
        <w:t>Kemeraltı</w:t>
      </w:r>
      <w:proofErr w:type="spellEnd"/>
      <w:r w:rsidRPr="00561098">
        <w:rPr>
          <w:rFonts w:ascii="roboto" w:eastAsia="Times New Roman" w:hAnsi="roboto" w:cs="Times New Roman"/>
          <w:color w:val="2D2D2D"/>
          <w:sz w:val="23"/>
          <w:szCs w:val="23"/>
          <w:lang w:eastAsia="tr-TR"/>
        </w:rPr>
        <w:t xml:space="preserve"> Vergi Dairesi Müdürlüğünün vergi kimlik numarasında muhasebe ve defter tutma faaliyetinden dolayı mükellef olduğunuz. 5 kişiyi aşan iş yerlerinde maaşların bankadan eklendiği, asgari ücret netinin 7.000 – TL tevsik zorunluluğu rakamını aşması durumunda kişi sayısına bakılmaksızın maaş ödemelerinin bankadan yapılıp yapılmayacağı hususunda Başkanlığımızdan görüş talep edilmektedir.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hyperlink r:id="rId4" w:history="1">
        <w:r w:rsidRPr="00561098">
          <w:rPr>
            <w:rFonts w:ascii="roboto" w:eastAsia="Times New Roman" w:hAnsi="roboto" w:cs="Times New Roman"/>
            <w:color w:val="1E73BE"/>
            <w:sz w:val="23"/>
            <w:lang w:eastAsia="tr-TR"/>
          </w:rPr>
          <w:t>213 sayılı Vergi Usul Kanununun</w:t>
        </w:r>
      </w:hyperlink>
      <w:r w:rsidRPr="00561098">
        <w:rPr>
          <w:rFonts w:ascii="roboto" w:eastAsia="Times New Roman" w:hAnsi="roboto" w:cs="Times New Roman"/>
          <w:color w:val="2D2D2D"/>
          <w:sz w:val="23"/>
          <w:szCs w:val="23"/>
          <w:lang w:eastAsia="tr-TR"/>
        </w:rPr>
        <w:t>,</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i/>
          <w:iCs/>
          <w:color w:val="2D2D2D"/>
          <w:sz w:val="23"/>
          <w:lang w:eastAsia="tr-TR"/>
        </w:rPr>
        <w:t xml:space="preserve">– “İspat Edici </w:t>
      </w:r>
      <w:proofErr w:type="gramStart"/>
      <w:r w:rsidRPr="00561098">
        <w:rPr>
          <w:rFonts w:ascii="roboto" w:eastAsia="Times New Roman" w:hAnsi="roboto" w:cs="Times New Roman"/>
          <w:i/>
          <w:iCs/>
          <w:color w:val="2D2D2D"/>
          <w:sz w:val="23"/>
          <w:lang w:eastAsia="tr-TR"/>
        </w:rPr>
        <w:t>Kağıtlar</w:t>
      </w:r>
      <w:proofErr w:type="gramEnd"/>
      <w:r w:rsidRPr="00561098">
        <w:rPr>
          <w:rFonts w:ascii="roboto" w:eastAsia="Times New Roman" w:hAnsi="roboto" w:cs="Times New Roman"/>
          <w:i/>
          <w:iCs/>
          <w:color w:val="2D2D2D"/>
          <w:sz w:val="23"/>
          <w:lang w:eastAsia="tr-TR"/>
        </w:rPr>
        <w:t xml:space="preserve">” başlıklı 227 </w:t>
      </w:r>
      <w:proofErr w:type="spellStart"/>
      <w:r w:rsidRPr="00561098">
        <w:rPr>
          <w:rFonts w:ascii="roboto" w:eastAsia="Times New Roman" w:hAnsi="roboto" w:cs="Times New Roman"/>
          <w:i/>
          <w:iCs/>
          <w:color w:val="2D2D2D"/>
          <w:sz w:val="23"/>
          <w:lang w:eastAsia="tr-TR"/>
        </w:rPr>
        <w:t>nci</w:t>
      </w:r>
      <w:proofErr w:type="spellEnd"/>
      <w:r w:rsidRPr="00561098">
        <w:rPr>
          <w:rFonts w:ascii="roboto" w:eastAsia="Times New Roman" w:hAnsi="roboto" w:cs="Times New Roman"/>
          <w:i/>
          <w:iCs/>
          <w:color w:val="2D2D2D"/>
          <w:sz w:val="23"/>
          <w:lang w:eastAsia="tr-TR"/>
        </w:rPr>
        <w:t xml:space="preserve"> maddesinin birinci fıkrasında “Bu kanunda aksine hüküm olmadıkça. </w:t>
      </w:r>
      <w:proofErr w:type="gramStart"/>
      <w:r w:rsidRPr="00561098">
        <w:rPr>
          <w:rFonts w:ascii="roboto" w:eastAsia="Times New Roman" w:hAnsi="roboto" w:cs="Times New Roman"/>
          <w:i/>
          <w:iCs/>
          <w:color w:val="2D2D2D"/>
          <w:sz w:val="23"/>
          <w:lang w:eastAsia="tr-TR"/>
        </w:rPr>
        <w:t>bu</w:t>
      </w:r>
      <w:proofErr w:type="gramEnd"/>
      <w:r w:rsidRPr="00561098">
        <w:rPr>
          <w:rFonts w:ascii="roboto" w:eastAsia="Times New Roman" w:hAnsi="roboto" w:cs="Times New Roman"/>
          <w:i/>
          <w:iCs/>
          <w:color w:val="2D2D2D"/>
          <w:sz w:val="23"/>
          <w:lang w:eastAsia="tr-TR"/>
        </w:rPr>
        <w:t xml:space="preserve"> kanuna göre tutulan ve üçüncü şahıslarla olan münasebet ve muamelelere ait olan kayıtların tevsiki mecburidir “</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 238 </w:t>
      </w:r>
      <w:proofErr w:type="spellStart"/>
      <w:r w:rsidRPr="00561098">
        <w:rPr>
          <w:rFonts w:ascii="roboto" w:eastAsia="Times New Roman" w:hAnsi="roboto" w:cs="Times New Roman"/>
          <w:color w:val="2D2D2D"/>
          <w:sz w:val="23"/>
          <w:szCs w:val="23"/>
          <w:lang w:eastAsia="tr-TR"/>
        </w:rPr>
        <w:t>nci</w:t>
      </w:r>
      <w:proofErr w:type="spellEnd"/>
      <w:r w:rsidRPr="00561098">
        <w:rPr>
          <w:rFonts w:ascii="roboto" w:eastAsia="Times New Roman" w:hAnsi="roboto" w:cs="Times New Roman"/>
          <w:color w:val="2D2D2D"/>
          <w:sz w:val="23"/>
          <w:szCs w:val="23"/>
          <w:lang w:eastAsia="tr-TR"/>
        </w:rPr>
        <w:t xml:space="preserve"> maddesinde. “</w:t>
      </w:r>
      <w:r w:rsidRPr="00561098">
        <w:rPr>
          <w:rFonts w:ascii="roboto" w:eastAsia="Times New Roman" w:hAnsi="roboto" w:cs="Times New Roman"/>
          <w:i/>
          <w:iCs/>
          <w:color w:val="2D2D2D"/>
          <w:sz w:val="23"/>
          <w:lang w:eastAsia="tr-TR"/>
        </w:rPr>
        <w:t>İşverenler her ay ödedikleri ücretler için (Ücret bordrosu) tutmaya mecburdurlar Gelir Vergisi Kanununa göre vergiden muaf olan ücretlerle diğer ücret üzerinden vergiye tabı hizmet erbabına yapılan ücret ödemeleri için bordro tutulmaz…</w:t>
      </w:r>
      <w:r w:rsidRPr="00561098">
        <w:rPr>
          <w:rFonts w:ascii="roboto" w:eastAsia="Times New Roman" w:hAnsi="roboto" w:cs="Times New Roman"/>
          <w:color w:val="2D2D2D"/>
          <w:sz w:val="23"/>
          <w:szCs w:val="23"/>
          <w:lang w:eastAsia="tr-TR"/>
        </w:rPr>
        <w:t>” hükümleri yer almaktadır.</w:t>
      </w:r>
      <w:r w:rsidRPr="00561098">
        <w:rPr>
          <w:rFonts w:ascii="roboto" w:eastAsia="Times New Roman" w:hAnsi="roboto" w:cs="Times New Roman"/>
          <w:color w:val="2D2D2D"/>
          <w:sz w:val="23"/>
          <w:szCs w:val="23"/>
          <w:lang w:eastAsia="tr-TR"/>
        </w:rPr>
        <w:br/>
        <w:t xml:space="preserve">213 sayılı Vergi Usul Kanununun Hazine ve Maliye Bakanlığının vergilendirme, bilgi toplama, belge düzenim sağlama gibi konularda mevcut düzenlemelere ek olarak günün ekonomik, malı ve teknolojik gelişmelere paralel olarak yapılabilecek düzenlemeler konusunda genel anlamda yetkili kılındığı bir madde mahiyetinde olan mükerrer 257 </w:t>
      </w:r>
      <w:proofErr w:type="spellStart"/>
      <w:r w:rsidRPr="00561098">
        <w:rPr>
          <w:rFonts w:ascii="roboto" w:eastAsia="Times New Roman" w:hAnsi="roboto" w:cs="Times New Roman"/>
          <w:color w:val="2D2D2D"/>
          <w:sz w:val="23"/>
          <w:szCs w:val="23"/>
          <w:lang w:eastAsia="tr-TR"/>
        </w:rPr>
        <w:t>nci</w:t>
      </w:r>
      <w:proofErr w:type="spellEnd"/>
      <w:r w:rsidRPr="00561098">
        <w:rPr>
          <w:rFonts w:ascii="roboto" w:eastAsia="Times New Roman" w:hAnsi="roboto" w:cs="Times New Roman"/>
          <w:color w:val="2D2D2D"/>
          <w:sz w:val="23"/>
          <w:szCs w:val="23"/>
          <w:lang w:eastAsia="tr-TR"/>
        </w:rPr>
        <w:t xml:space="preserve"> maddesinde de mükelleflere muameleleri ile ilgili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ödemelerim banka, benzeri finans kurumlan veya posta idarelerince düzenlenen belgelerle tevsik etmeleri zorunluluğunu getirme ve bu zorunluluğun kapsamını ve uygulamaya ilişkin usul ve esaslarını belirleme hususlarında Bakanlığımıza yetki verilmiştir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Bu yetki hükmüyle, ticari işlemlerin ve finansal hareketlerin taraftarının izlenmesi, vergiyi doğuran olayların malı kuramların kayıl ve belgeler yardımıyla tespit edilmesi ve kayıl dişiliğin önlenmesi amacıyla gerekli önlemleri alabilme konusunda Bakanlığımız yetkilendirilmiştir.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Bahsi geçen yetkiye dayanılarak,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ödemelerin aracı finansal kurumlar (</w:t>
      </w:r>
      <w:hyperlink r:id="rId5" w:history="1">
        <w:r w:rsidRPr="00561098">
          <w:rPr>
            <w:rFonts w:ascii="roboto" w:eastAsia="Times New Roman" w:hAnsi="roboto" w:cs="Times New Roman"/>
            <w:color w:val="1E73BE"/>
            <w:sz w:val="23"/>
            <w:lang w:eastAsia="tr-TR"/>
          </w:rPr>
          <w:t>5411 sayılı Bankacılık Kanununda</w:t>
        </w:r>
      </w:hyperlink>
      <w:r w:rsidRPr="00561098">
        <w:rPr>
          <w:rFonts w:ascii="roboto" w:eastAsia="Times New Roman" w:hAnsi="roboto" w:cs="Times New Roman"/>
          <w:color w:val="2D2D2D"/>
          <w:sz w:val="23"/>
          <w:szCs w:val="23"/>
          <w:lang w:eastAsia="tr-TR"/>
        </w:rPr>
        <w:t> tanımlanan banka. </w:t>
      </w:r>
      <w:hyperlink r:id="rId6" w:history="1">
        <w:r w:rsidRPr="00561098">
          <w:rPr>
            <w:rFonts w:ascii="roboto" w:eastAsia="Times New Roman" w:hAnsi="roboto" w:cs="Times New Roman"/>
            <w:color w:val="1E73BE"/>
            <w:sz w:val="23"/>
            <w:lang w:eastAsia="tr-TR"/>
          </w:rPr>
          <w:t>6493 sayılı Ödeme ve Menkul Kıymet Mutabakat Sistemleri Ödeme Hizmetleri ve Elektronik Para Kuruluşları Hakkında Kanun</w:t>
        </w:r>
      </w:hyperlink>
      <w:r w:rsidRPr="00561098">
        <w:rPr>
          <w:rFonts w:ascii="roboto" w:eastAsia="Times New Roman" w:hAnsi="roboto" w:cs="Times New Roman"/>
          <w:color w:val="2D2D2D"/>
          <w:sz w:val="23"/>
          <w:szCs w:val="23"/>
          <w:lang w:eastAsia="tr-TR"/>
        </w:rPr>
        <w:t xml:space="preserve"> kapsamında yetkilendirilmiş ödeme kuruluşları ve 6475 sayılı Posta Hizmetleri Kanununa göre kurulan Posta ve Telgraf Teşkilatı A Ş </w:t>
      </w:r>
      <w:proofErr w:type="gramStart"/>
      <w:r w:rsidRPr="00561098">
        <w:rPr>
          <w:rFonts w:ascii="roboto" w:eastAsia="Times New Roman" w:hAnsi="roboto" w:cs="Times New Roman"/>
          <w:color w:val="2D2D2D"/>
          <w:sz w:val="23"/>
          <w:szCs w:val="23"/>
          <w:lang w:eastAsia="tr-TR"/>
        </w:rPr>
        <w:t>)</w:t>
      </w:r>
      <w:proofErr w:type="gramEnd"/>
      <w:r w:rsidRPr="00561098">
        <w:rPr>
          <w:rFonts w:ascii="roboto" w:eastAsia="Times New Roman" w:hAnsi="roboto" w:cs="Times New Roman"/>
          <w:color w:val="2D2D2D"/>
          <w:sz w:val="23"/>
          <w:szCs w:val="23"/>
          <w:lang w:eastAsia="tr-TR"/>
        </w:rPr>
        <w:t xml:space="preserve"> tarafından düzenlenen belgelerle tevsiki uygulamasının usul ve esasları 469. 479, 480 ve 540 Sıra No.lu Vergi Usul Kanunu Genel tebliğleri ile değişik </w:t>
      </w:r>
      <w:hyperlink r:id="rId7" w:history="1">
        <w:r w:rsidRPr="00561098">
          <w:rPr>
            <w:rFonts w:ascii="roboto" w:eastAsia="Times New Roman" w:hAnsi="roboto" w:cs="Times New Roman"/>
            <w:color w:val="1E73BE"/>
            <w:sz w:val="23"/>
            <w:lang w:eastAsia="tr-TR"/>
          </w:rPr>
          <w:t>459 Sıra No.lu Vergi Usul Kanunu Genel Tebliğinde</w:t>
        </w:r>
      </w:hyperlink>
      <w:r w:rsidRPr="00561098">
        <w:rPr>
          <w:rFonts w:ascii="roboto" w:eastAsia="Times New Roman" w:hAnsi="roboto" w:cs="Times New Roman"/>
          <w:color w:val="2D2D2D"/>
          <w:sz w:val="23"/>
          <w:szCs w:val="23"/>
          <w:lang w:eastAsia="tr-TR"/>
        </w:rPr>
        <w:t> belirlenmiştir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lastRenderedPageBreak/>
        <w:t>Söz konusu Tebliğin “</w:t>
      </w:r>
      <w:proofErr w:type="gramStart"/>
      <w:r w:rsidRPr="00561098">
        <w:rPr>
          <w:rFonts w:ascii="roboto" w:eastAsia="Times New Roman" w:hAnsi="roboto" w:cs="Times New Roman"/>
          <w:color w:val="2D2D2D"/>
          <w:sz w:val="23"/>
          <w:szCs w:val="23"/>
          <w:lang w:eastAsia="tr-TR"/>
        </w:rPr>
        <w:t>4.1</w:t>
      </w:r>
      <w:proofErr w:type="gramEnd"/>
      <w:r w:rsidRPr="00561098">
        <w:rPr>
          <w:rFonts w:ascii="roboto" w:eastAsia="Times New Roman" w:hAnsi="roboto" w:cs="Times New Roman"/>
          <w:color w:val="2D2D2D"/>
          <w:sz w:val="23"/>
          <w:szCs w:val="23"/>
          <w:lang w:eastAsia="tr-TR"/>
        </w:rPr>
        <w:t xml:space="preserve">.Kapsam ve Tutar” bölümünde. “Tevsik zorunluluğu kapsamında olanların, kendi aralarında ve tevsik zorunluluğu kapsamında olmayanlarla yapacakları, 7.000 TL’yi aşan tutardaki her türlü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ödemelerini aracı finansal kurumlar kanalıyla yapmaları ve bu tahsilat ve ödemeleri söz konusu kurumlarca düzenlenen belgeler ile tevsik etmeleri zorunludur.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Bu kapsamda örneğin:</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 Her türlü mal teslimi veya hizmet ifasına ilişkin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ödemelerin.</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 Avans, depozito, pey akçesi gibi suretlerle yapılacak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ödemelerin.</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 İşletmelerin kendi ortakları ve/veya diğer gerçek ve tüzel kişilerle yaptığı her turlu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ödemelerin belirlenen haddi aşması durumunda, aracı finansal kurumlar kanalıyla yapılması ve bu işlemlerin söz konusu kurumlarca düzenlenen belgeler ile tevsik edilmesi zorunludur.” açıklamaları yer almaktadır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Bu bağlamda,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ödemelerin tevsik zorunluluğu kapsamına Vergi Usul Kanununun 232 </w:t>
      </w:r>
      <w:proofErr w:type="spellStart"/>
      <w:r w:rsidRPr="00561098">
        <w:rPr>
          <w:rFonts w:ascii="roboto" w:eastAsia="Times New Roman" w:hAnsi="roboto" w:cs="Times New Roman"/>
          <w:color w:val="2D2D2D"/>
          <w:sz w:val="23"/>
          <w:szCs w:val="23"/>
          <w:lang w:eastAsia="tr-TR"/>
        </w:rPr>
        <w:t>nci</w:t>
      </w:r>
      <w:proofErr w:type="spellEnd"/>
      <w:r w:rsidRPr="00561098">
        <w:rPr>
          <w:rFonts w:ascii="roboto" w:eastAsia="Times New Roman" w:hAnsi="roboto" w:cs="Times New Roman"/>
          <w:color w:val="2D2D2D"/>
          <w:sz w:val="23"/>
          <w:szCs w:val="23"/>
          <w:lang w:eastAsia="tr-TR"/>
        </w:rPr>
        <w:t xml:space="preserve"> maddesinin birinci fıkrası kapsamında fatura almak zorunda olan birinci ve ikinci sınıf tüccarların, serbest meslek erbabının, kazançları basit usulde tespit olunan tüccarların, defter tutmak mecburiyetinde olan çiftçilerin ve vergiden muaf esnafın, kendi aralarında ve tevsik zorunluluğu kapsamında olmayanlarla yapacakları. 7 000 TL’yi aşan tutardaki her turlu </w:t>
      </w:r>
      <w:proofErr w:type="gramStart"/>
      <w:r w:rsidRPr="00561098">
        <w:rPr>
          <w:rFonts w:ascii="roboto" w:eastAsia="Times New Roman" w:hAnsi="roboto" w:cs="Times New Roman"/>
          <w:color w:val="2D2D2D"/>
          <w:sz w:val="23"/>
          <w:szCs w:val="23"/>
          <w:lang w:eastAsia="tr-TR"/>
        </w:rPr>
        <w:t>tahsilat</w:t>
      </w:r>
      <w:proofErr w:type="gramEnd"/>
      <w:r w:rsidRPr="00561098">
        <w:rPr>
          <w:rFonts w:ascii="roboto" w:eastAsia="Times New Roman" w:hAnsi="roboto" w:cs="Times New Roman"/>
          <w:color w:val="2D2D2D"/>
          <w:sz w:val="23"/>
          <w:szCs w:val="23"/>
          <w:lang w:eastAsia="tr-TR"/>
        </w:rPr>
        <w:t xml:space="preserve"> ve ödemeler girmektedir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Ancak, Çalışma ve Sosyal Güvenlik Bakanlığı tarafından 18.11.2008 tarihli ve 27058 sayılı Resmi Gazetede yayımlanan ve 01.01.2009 tarihinde yürürlüğü giren “</w:t>
      </w:r>
      <w:hyperlink r:id="rId8" w:history="1">
        <w:r w:rsidRPr="00561098">
          <w:rPr>
            <w:rFonts w:ascii="roboto" w:eastAsia="Times New Roman" w:hAnsi="roboto" w:cs="Times New Roman"/>
            <w:color w:val="1E73BE"/>
            <w:sz w:val="23"/>
            <w:lang w:eastAsia="tr-TR"/>
          </w:rPr>
          <w:t>Ücret, Prim, İkramiye ve Bu Nitelikteki Her Türlü İstihkakın Bankalar Aracılığı İle Ödenmesine Dair Yönetmeliğin</w:t>
        </w:r>
      </w:hyperlink>
      <w:r w:rsidRPr="00561098">
        <w:rPr>
          <w:rFonts w:ascii="roboto" w:eastAsia="Times New Roman" w:hAnsi="roboto" w:cs="Times New Roman"/>
          <w:color w:val="2D2D2D"/>
          <w:sz w:val="23"/>
          <w:szCs w:val="23"/>
          <w:lang w:eastAsia="tr-TR"/>
        </w:rPr>
        <w:t>” 10 uncu maddesinin. 21.05.2016 tarihli ve 29718 sayılı Resmi Gazete’de yayımlanan </w:t>
      </w:r>
      <w:hyperlink r:id="rId9" w:history="1">
        <w:r w:rsidRPr="00561098">
          <w:rPr>
            <w:rFonts w:ascii="roboto" w:eastAsia="Times New Roman" w:hAnsi="roboto" w:cs="Times New Roman"/>
            <w:color w:val="1E73BE"/>
            <w:sz w:val="23"/>
            <w:lang w:eastAsia="tr-TR"/>
          </w:rPr>
          <w:t>değişiklik</w:t>
        </w:r>
      </w:hyperlink>
      <w:r w:rsidRPr="00561098">
        <w:rPr>
          <w:rFonts w:ascii="roboto" w:eastAsia="Times New Roman" w:hAnsi="roboto" w:cs="Times New Roman"/>
          <w:color w:val="2D2D2D"/>
          <w:sz w:val="23"/>
          <w:szCs w:val="23"/>
          <w:u w:val="single"/>
          <w:lang w:eastAsia="tr-TR"/>
        </w:rPr>
        <w:t> </w:t>
      </w:r>
      <w:r w:rsidRPr="00561098">
        <w:rPr>
          <w:rFonts w:ascii="roboto" w:eastAsia="Times New Roman" w:hAnsi="roboto" w:cs="Times New Roman"/>
          <w:color w:val="2D2D2D"/>
          <w:sz w:val="23"/>
          <w:szCs w:val="23"/>
          <w:lang w:eastAsia="tr-TR"/>
        </w:rPr>
        <w:t>sonucunda. “İ</w:t>
      </w:r>
      <w:r w:rsidRPr="00561098">
        <w:rPr>
          <w:rFonts w:ascii="roboto" w:eastAsia="Times New Roman" w:hAnsi="roboto" w:cs="Times New Roman"/>
          <w:i/>
          <w:iCs/>
          <w:color w:val="2D2D2D"/>
          <w:sz w:val="23"/>
          <w:lang w:eastAsia="tr-TR"/>
        </w:rPr>
        <w:t>şyeri ve işletmelerinde İş Kanunu hükümlerinin uygulandığı işverenler ve üçüncü kişilerin. Türkiye genelinde çalıştırdıkları işçi sayısının en az 5 ve daha fazla çalışan istihdam eden işverenlerin bu ödemeleri bankalar aracılığıyla yapmaları zorunlu kılınmıştır</w:t>
      </w:r>
      <w:r w:rsidRPr="00561098">
        <w:rPr>
          <w:rFonts w:ascii="roboto" w:eastAsia="Times New Roman" w:hAnsi="roboto" w:cs="Times New Roman"/>
          <w:color w:val="2D2D2D"/>
          <w:sz w:val="23"/>
          <w:szCs w:val="23"/>
          <w:lang w:eastAsia="tr-TR"/>
        </w:rPr>
        <w:t xml:space="preserve">.” hükmüne yer verilmiş olup. </w:t>
      </w:r>
      <w:proofErr w:type="gramStart"/>
      <w:r w:rsidRPr="00561098">
        <w:rPr>
          <w:rFonts w:ascii="roboto" w:eastAsia="Times New Roman" w:hAnsi="roboto" w:cs="Times New Roman"/>
          <w:color w:val="2D2D2D"/>
          <w:sz w:val="23"/>
          <w:szCs w:val="23"/>
          <w:lang w:eastAsia="tr-TR"/>
        </w:rPr>
        <w:t>Mezkur</w:t>
      </w:r>
      <w:proofErr w:type="gramEnd"/>
      <w:r w:rsidRPr="00561098">
        <w:rPr>
          <w:rFonts w:ascii="roboto" w:eastAsia="Times New Roman" w:hAnsi="roboto" w:cs="Times New Roman"/>
          <w:color w:val="2D2D2D"/>
          <w:sz w:val="23"/>
          <w:szCs w:val="23"/>
          <w:lang w:eastAsia="tr-TR"/>
        </w:rPr>
        <w:t xml:space="preserve"> yönetmeliğin “yürütme” başlıklı 18 inci maddesinde ise, yönetmelik hükümlerinin. Çalışma ve Sosyal Güvenlik Bakanı, Maliye Bakanı ve Hazine Müsteşarlığının bağlı olduğu Bakan ile birlikte yürütüleceği, hükme bağlanmıştır.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 xml:space="preserve">Buna göre. </w:t>
      </w:r>
      <w:proofErr w:type="gramStart"/>
      <w:r w:rsidRPr="00561098">
        <w:rPr>
          <w:rFonts w:ascii="roboto" w:eastAsia="Times New Roman" w:hAnsi="roboto" w:cs="Times New Roman"/>
          <w:color w:val="2D2D2D"/>
          <w:sz w:val="23"/>
          <w:szCs w:val="23"/>
          <w:lang w:eastAsia="tr-TR"/>
        </w:rPr>
        <w:t>iş</w:t>
      </w:r>
      <w:proofErr w:type="gramEnd"/>
      <w:r w:rsidRPr="00561098">
        <w:rPr>
          <w:rFonts w:ascii="roboto" w:eastAsia="Times New Roman" w:hAnsi="roboto" w:cs="Times New Roman"/>
          <w:color w:val="2D2D2D"/>
          <w:sz w:val="23"/>
          <w:szCs w:val="23"/>
          <w:lang w:eastAsia="tr-TR"/>
        </w:rPr>
        <w:t xml:space="preserve"> yerlerinde en az 5 ve daha fazla çalışan istihdam eden işverenlerin, bu ödemeleri banka aracılığıyla yapmaları zorunlu bulunduğundan, </w:t>
      </w:r>
      <w:proofErr w:type="spellStart"/>
      <w:r w:rsidRPr="00561098">
        <w:rPr>
          <w:rFonts w:ascii="roboto" w:eastAsia="Times New Roman" w:hAnsi="roboto" w:cs="Times New Roman"/>
          <w:color w:val="2D2D2D"/>
          <w:sz w:val="23"/>
          <w:szCs w:val="23"/>
          <w:lang w:eastAsia="tr-TR"/>
        </w:rPr>
        <w:t>özelge</w:t>
      </w:r>
      <w:proofErr w:type="spellEnd"/>
      <w:r w:rsidRPr="00561098">
        <w:rPr>
          <w:rFonts w:ascii="roboto" w:eastAsia="Times New Roman" w:hAnsi="roboto" w:cs="Times New Roman"/>
          <w:color w:val="2D2D2D"/>
          <w:sz w:val="23"/>
          <w:szCs w:val="23"/>
          <w:lang w:eastAsia="tr-TR"/>
        </w:rPr>
        <w:t xml:space="preserve"> talep formunda tereddüt edilen hususlara ilişkin 459 Sıra No.lu Vergi Usul Kanunu Genel Tebliği ile Çalışma ve Sosyal Güvenlik Bakanlığı tarafından yayımlanan Yönetmelikte gerekli açıklamalar yapıldığından, başvurunuz </w:t>
      </w:r>
      <w:proofErr w:type="spellStart"/>
      <w:r w:rsidRPr="00561098">
        <w:rPr>
          <w:rFonts w:ascii="roboto" w:eastAsia="Times New Roman" w:hAnsi="roboto" w:cs="Times New Roman"/>
          <w:color w:val="2D2D2D"/>
          <w:sz w:val="23"/>
          <w:szCs w:val="23"/>
          <w:lang w:eastAsia="tr-TR"/>
        </w:rPr>
        <w:t>özelge</w:t>
      </w:r>
      <w:proofErr w:type="spellEnd"/>
      <w:r w:rsidRPr="00561098">
        <w:rPr>
          <w:rFonts w:ascii="roboto" w:eastAsia="Times New Roman" w:hAnsi="roboto" w:cs="Times New Roman"/>
          <w:color w:val="2D2D2D"/>
          <w:sz w:val="23"/>
          <w:szCs w:val="23"/>
          <w:lang w:eastAsia="tr-TR"/>
        </w:rPr>
        <w:t xml:space="preserve"> kapsamında değerlendirilmemiştir</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Bilgi edinilmesini rica ederim</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proofErr w:type="spellStart"/>
      <w:r w:rsidRPr="00561098">
        <w:rPr>
          <w:rFonts w:ascii="roboto" w:eastAsia="Times New Roman" w:hAnsi="roboto" w:cs="Times New Roman"/>
          <w:b/>
          <w:bCs/>
          <w:color w:val="2D2D2D"/>
          <w:sz w:val="23"/>
          <w:lang w:eastAsia="tr-TR"/>
        </w:rPr>
        <w:t>Umud</w:t>
      </w:r>
      <w:proofErr w:type="spellEnd"/>
      <w:r w:rsidRPr="00561098">
        <w:rPr>
          <w:rFonts w:ascii="roboto" w:eastAsia="Times New Roman" w:hAnsi="roboto" w:cs="Times New Roman"/>
          <w:b/>
          <w:bCs/>
          <w:color w:val="2D2D2D"/>
          <w:sz w:val="23"/>
          <w:lang w:eastAsia="tr-TR"/>
        </w:rPr>
        <w:t xml:space="preserve"> EKİM</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Vergi Dairesi Başkanı a.</w:t>
      </w:r>
    </w:p>
    <w:p w:rsidR="00561098" w:rsidRPr="00561098" w:rsidRDefault="00561098" w:rsidP="00561098">
      <w:pPr>
        <w:shd w:val="clear" w:color="auto" w:fill="FFFFFF"/>
        <w:spacing w:after="310" w:line="240" w:lineRule="auto"/>
        <w:jc w:val="both"/>
        <w:rPr>
          <w:rFonts w:ascii="roboto" w:eastAsia="Times New Roman" w:hAnsi="roboto" w:cs="Times New Roman"/>
          <w:color w:val="2D2D2D"/>
          <w:sz w:val="23"/>
          <w:szCs w:val="23"/>
          <w:lang w:eastAsia="tr-TR"/>
        </w:rPr>
      </w:pPr>
      <w:r w:rsidRPr="00561098">
        <w:rPr>
          <w:rFonts w:ascii="roboto" w:eastAsia="Times New Roman" w:hAnsi="roboto" w:cs="Times New Roman"/>
          <w:color w:val="2D2D2D"/>
          <w:sz w:val="23"/>
          <w:szCs w:val="23"/>
          <w:lang w:eastAsia="tr-TR"/>
        </w:rPr>
        <w:t>Gelir İdaresi Grup Müdürü</w:t>
      </w:r>
    </w:p>
    <w:p w:rsidR="005C084E" w:rsidRDefault="005C084E"/>
    <w:sectPr w:rsidR="005C084E" w:rsidSect="005C08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61098"/>
    <w:rsid w:val="00561098"/>
    <w:rsid w:val="005C08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84E"/>
  </w:style>
  <w:style w:type="paragraph" w:styleId="Balk4">
    <w:name w:val="heading 4"/>
    <w:basedOn w:val="Normal"/>
    <w:link w:val="Balk4Char"/>
    <w:uiPriority w:val="9"/>
    <w:qFormat/>
    <w:rsid w:val="0056109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56109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610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61098"/>
    <w:rPr>
      <w:color w:val="0000FF"/>
      <w:u w:val="single"/>
    </w:rPr>
  </w:style>
  <w:style w:type="character" w:styleId="Vurgu">
    <w:name w:val="Emphasis"/>
    <w:basedOn w:val="VarsaylanParagrafYazTipi"/>
    <w:uiPriority w:val="20"/>
    <w:qFormat/>
    <w:rsid w:val="00561098"/>
    <w:rPr>
      <w:i/>
      <w:iCs/>
    </w:rPr>
  </w:style>
  <w:style w:type="character" w:styleId="Gl">
    <w:name w:val="Strong"/>
    <w:basedOn w:val="VarsaylanParagrafYazTipi"/>
    <w:uiPriority w:val="22"/>
    <w:qFormat/>
    <w:rsid w:val="00561098"/>
    <w:rPr>
      <w:b/>
      <w:bCs/>
    </w:rPr>
  </w:style>
  <w:style w:type="paragraph" w:styleId="BalonMetni">
    <w:name w:val="Balloon Text"/>
    <w:basedOn w:val="Normal"/>
    <w:link w:val="BalonMetniChar"/>
    <w:uiPriority w:val="99"/>
    <w:semiHidden/>
    <w:unhideWhenUsed/>
    <w:rsid w:val="005610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1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8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08/11/18/ucret-prim-ikramiye-ve-bu-nitelikteki-her-turlu-istihkakin-bankalar/" TargetMode="External"/><Relationship Id="rId3" Type="http://schemas.openxmlformats.org/officeDocument/2006/relationships/webSettings" Target="webSettings.xml"/><Relationship Id="rId7" Type="http://schemas.openxmlformats.org/officeDocument/2006/relationships/hyperlink" Target="https://www.alomaliye.com/2015/12/24/vergi-usul-kanunu-genel-tebligi-sira-no-459-vuk-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13/06/27/odeme-ve-menkul-kiymet-mutabakat-sistemleri-6493-sayili/" TargetMode="External"/><Relationship Id="rId11" Type="http://schemas.openxmlformats.org/officeDocument/2006/relationships/theme" Target="theme/theme1.xml"/><Relationship Id="rId5" Type="http://schemas.openxmlformats.org/officeDocument/2006/relationships/hyperlink" Target="https://www.alomaliye.com/2005/11/01/bankacilik-kanunu-5411-sayili-kanun/" TargetMode="External"/><Relationship Id="rId10" Type="http://schemas.openxmlformats.org/officeDocument/2006/relationships/fontTable" Target="fontTable.xml"/><Relationship Id="rId4" Type="http://schemas.openxmlformats.org/officeDocument/2006/relationships/hyperlink" Target="https://www.alomaliye.com/2015/01/02/vergi-usul-kanunu-vuk-213-sayili-kanun/" TargetMode="External"/><Relationship Id="rId9" Type="http://schemas.openxmlformats.org/officeDocument/2006/relationships/hyperlink" Target="https://www.alomaliye.com/2016/05/21/ucret-prim-ikramiye-ve-bu-nitelikteki-her-turlu-istihkakin-bank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2023-01-20T11:05:00Z</dcterms:created>
  <dcterms:modified xsi:type="dcterms:W3CDTF">2023-01-20T11:06:00Z</dcterms:modified>
</cp:coreProperties>
</file>