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76" w:rsidRPr="00642476" w:rsidRDefault="00642476" w:rsidP="00642476">
      <w:pPr>
        <w:spacing w:after="155" w:line="312" w:lineRule="atLeast"/>
        <w:outlineLvl w:val="0"/>
        <w:rPr>
          <w:rFonts w:ascii="Times New Roman" w:eastAsia="Times New Roman" w:hAnsi="Times New Roman" w:cs="Times New Roman"/>
          <w:b/>
          <w:bCs/>
          <w:color w:val="40454D"/>
          <w:kern w:val="36"/>
          <w:sz w:val="28"/>
          <w:szCs w:val="28"/>
          <w:lang w:eastAsia="tr-TR"/>
        </w:rPr>
      </w:pPr>
      <w:r w:rsidRPr="00642476">
        <w:rPr>
          <w:rFonts w:ascii="Times New Roman" w:eastAsia="Times New Roman" w:hAnsi="Times New Roman" w:cs="Times New Roman"/>
          <w:b/>
          <w:bCs/>
          <w:color w:val="40454D"/>
          <w:kern w:val="36"/>
          <w:sz w:val="28"/>
          <w:szCs w:val="28"/>
          <w:lang w:eastAsia="tr-TR"/>
        </w:rPr>
        <w:t>Türkiye Nüfusu Açıklandı – 2022</w:t>
      </w:r>
    </w:p>
    <w:p w:rsidR="00642476" w:rsidRPr="00642476" w:rsidRDefault="00642476" w:rsidP="00642476">
      <w:pPr>
        <w:spacing w:after="155" w:line="312" w:lineRule="atLeast"/>
        <w:outlineLvl w:val="3"/>
        <w:rPr>
          <w:rFonts w:ascii="Times New Roman" w:eastAsia="Times New Roman" w:hAnsi="Times New Roman" w:cs="Times New Roman"/>
          <w:b/>
          <w:bCs/>
          <w:color w:val="40454D"/>
          <w:sz w:val="28"/>
          <w:szCs w:val="28"/>
          <w:lang w:eastAsia="tr-TR"/>
        </w:rPr>
      </w:pPr>
      <w:r w:rsidRPr="00642476">
        <w:rPr>
          <w:rFonts w:ascii="Times New Roman" w:eastAsia="Times New Roman" w:hAnsi="Times New Roman" w:cs="Times New Roman"/>
          <w:b/>
          <w:bCs/>
          <w:color w:val="40454D"/>
          <w:sz w:val="28"/>
          <w:szCs w:val="28"/>
          <w:lang w:eastAsia="tr-TR"/>
        </w:rPr>
        <w:t>Adrese Dayalı Nüfus Kayıt Sistemi Sonuçları,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Türkiye nüfusu 85 milyon 279 bin 553 kişi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Türkiye’de ikamet eden nüfus, 31 Aralık 2022 tarihi itibarıyla bir önceki yıla göre 599 bin 280 kişi artarak 85 milyon 279 bin 553 kişiye ulaştı. Erkek nüfus 42 milyon 704 bin 112 kişi olurken, kadın nüfus 42 milyon 575 bin 441 kişi oldu. Diğer bir ifadeyle toplam nüfusun %50,1’ini erkekler, %49,9’unu ise kadınlar oluşturdu.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Adrese Dayalı Nüfus Kayıt Sistemi (ADNKS) sonuçlarına göre, ülkemizde ikamet eden yabancı nüfus(1) bir önceki yıla göre 31 bin 800 kişi artarak 1 milyon 823 bin 836 kişi oldu. Bu nüfusun %49,5’ini erkekler, %50,5’ini kadınlar oluşturdu.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Nüfus artış hızı binde 7,1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Yıllık nüfus artış hızı 2021 yılında binde 12,7 iken, 2022 yılında binde 7,1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Nüfus ve yıllık nüfus artış hızı, 2007-2022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İl ve ilçe merkezlerinde yaşayanların oranı %93,4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Türkiye’de 2021 yılında %93,2 olan il ve ilçe merkezlerinde yaşayanların oranı, 2022 yılında %93,4 oldu. Diğer yandan belde ve köylerde yaşayanların oranı %6,8’den %6,6’ya düştü.</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İstanbul’un nüfusu 15 milyon 907 bin 951 kişi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İstanbul’un nüfusu, bir önceki yıla göre 67 bin 51 kişi artarak 15 milyon 907 bin 951 kişi oldu. Türkiye nüfusunun %18,65’inin ikamet ettiği İstanbul’u, 5 milyon 782 bin 285 kişi ile Ankara, 4 milyon 462 bin 56 kişi ile İzmir, 3 milyon 194 bin 720 kişi ile Bursa ve 2 milyon 688 bin 4 kişi ile Antalya izledi.</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En fazla nüfusa sahip ilk 5 ilin cinsiyete göre dağılımı,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Nüfusu en az olan il 84 bin 241 kişi ile Bayburt oldu</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Bayburt, 84 bin 241 kişi ile en az nüfusa sahip olan il oldu. Bayburt’u, 84 bin 366 kişi ile Tunceli, 92 bin 481 kişi ile Ardahan, 144 bin 544 kişi ile Gümüşhane ve 147 bin 919 kişi ile Kilis takip etti.</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En az nüfusa sahip ilk 5 ilin cinsiyete göre dağılımı,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lastRenderedPageBreak/>
        <w:t>Nüfus piramidindeki yapısal değişim devam etti</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Nüfus piramitleri, nüfusun yaş ve cinsiyet yapısında meydana gelen değişimi gösteren grafikler olarak tanımlanmaktadır. Türkiye’nin 2007 ve 2022 yılı nüfus piramitleri karşılaştırıldığında, doğurganlık ve ölümlülük hızlarındaki azalmaya bağlı olarak, yaşlı nüfusun arttığı ve ortanca yaşın yükseldiği görülmektedir.</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Nüfus piramidi, 2007,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Türkiye nüfusunun ortanca yaşı 33,5’e yükseldi</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Ortanca yaş, yeni doğan bebekten en yaşlıya kadar nüfusu oluşturan kişilerin yaşları küçükten büyüğe doğru sıralandığında ortada kalan kişinin yaşıdır. Ortanca yaş aynı zamanda nüfusun yaş yapısının yorumlanmasında kullanılan önemli göstergelerden biridir.</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Türkiye’de 2021 yılında 33,1 olan ortanca yaş, 2022 yılında 33,5’e yükseldi. Cinsiyete göre incelendiğinde, ortanca yaşın erkeklerde 32,4’ten 32,8’e, kadınlarda ise 33,8’den 34,2’ye yükseldiği görüldü.</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Cinsiyete göre ortanca yaş, 2007-2022</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Ortanca yaşı en yüksek olan il Sinop, en düşük olan il Şanlıurfa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Ortanca yaşın illere göre dağılımına bakıldığında, Sinop’un 42,4 ile en yüksek ortanca yaş değerine sahip olduğu görüldü. Sinop’u, 41,6 ile Kastamonu ve Giresun izledi. Diğer yandan 20,8 ile Şanlıurfa en düşük ortanca yaşa sahip il oldu. Şanlıurfa’yı, 22,2 ile Şırnak ve 23,3 ile Siirt ve Ağrı takip etti.</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Kadınlarda ve erkeklerde en yüksek ortanca yaşa sahip il Sinop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Ortanca yaşın illere ve cinsiyete göre dağılımı incelendiğinde, erkeklerde 41,4 ile Sinop en yüksek ortanca yaşa sahip olan il olurken, 20,4 ile Şanlıurfa en düşük ortanca yaşa sahip olan il oldu. Kadınlarda 43,5 ile Sinop yine en yüksek ortanca yaş değerine sahip olan il olurken, Şanlıurfa 21,3 ile en düşük ortanca yaş değerine sahip olan il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En yüksek ve en düşük ortanca yaşa sahip ilk 5 ilin cinsiyete göre dağılımı,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Hiç evlenmeyenlerin oranının erkeklerde daha yüksek olduğu görüldü</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lastRenderedPageBreak/>
        <w:t>Ülkemizde 2009 ve 2022 yılı cinsiyete göre medeni durumun dağılımı incelendiğinde, erkeklerde hiç evlenmeyenlerin oranının kadınlara göre daha yüksek olduğu, kadınlarda ise eşi ölenlerin ve boşananların oranının erkeklerden daha fazla olduğu görüldü. Diğer yandan büyük çoğunluğu oluşturan evlilerin oranının 2009 ve 2022 yılında her iki cinsiyette de birbirine yakın oranlarda olduğu görüldü.</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Medeni durum ve cinsiyete göre nüfus oranı, 2009,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Çalışma çağındaki nüfusun oranı %68,1 oldu</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Çalışma çağı olarak tanımlanan 15-64 yaş grubundaki nüfusun oranı, 2007 yılında %66,5 iken 2022 yılında %68,1 oldu. Diğer yandan çocuk yaş grubu olarak tanımlanan 0-14 yaş grubundaki nüfusun oranı %26,4’ten %22’ye gerilerken, 65 ve daha yukarı yaştaki nüfusun oranı ise %7,1’den %9,9’a yükseldi.</w:t>
      </w:r>
    </w:p>
    <w:p w:rsidR="00642476" w:rsidRPr="00642476" w:rsidRDefault="00642476" w:rsidP="00642476">
      <w:pPr>
        <w:spacing w:after="0" w:line="240" w:lineRule="auto"/>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Yaş gruplarına göre nüfus oranı, 2007, 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Toplam yaş bağımlılık oranı azaldı</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Çalışma çağındaki birey başına düşen çocuk ve yaşlı birey sayısını gösteren toplam yaş bağımlılık oranı, 2021 yılında %47,4 iken 2022 yılında %46,8’e düştü.</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Çalışma çağındaki birey başına düşen çocuk sayısını ifade eden çocuk bağımlılık oranı, %33’ten, %32,3’e gerilerken, çalışma çağındaki birey başına düşen yaşlı birey sayısını ölçen yaşlı bağımlılık oranı ise %14,3’ten %14,5’e yükseldi. Diğer bir ifadeyle, Türkiye’de 2022 yılında, çalışma çağındaki her 100 kişi, 32,3 çocuğa ve 14,5 yaşlıya bakmaktadır.</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Yaş bağımlılık oranları, 2018-2022</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Türkiye’de kilometrekareye 111 kişi düşerken İstanbul’da 3 bin 62 kişi düştü</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Nüfus yoğunluğu olarak tanımlanan “bir kilometrekareye düşen kişi sayısı”, Türkiye genelinde 2021 yılına göre 1 kişi artarak 111 kişiye yükseldi. İstanbul, kilometrekareye düşen 3 bin 62 kişi ile nüfus yoğunluğu en yüksek olan ilimiz oldu. İstanbul’dan sonra 576 kişi ile Kocaeli ve 371 kişi ile İzmir nüfus yoğunluğu en yüksek olan iller oldu.</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lastRenderedPageBreak/>
        <w:t>Diğer yandan nüfus yoğunluğu en az olan il ise bir önceki yılda olduğu gibi, kilometrekareye düşen 11 kişi ile Tunceli oldu. Tunceli’yi, 19 kişi ile Ardahan ve 21 kişi ile Erzincan izledi.</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Yüz ölçümü büyüklüğünde ilk sırada yer alan Konya’nın nüfus yoğunluğu 59, en küçük yüz ölçümüne sahip Yalova’nın nüfus yoğunluğu ise 350 olarak gerçekleşti.</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AÇIKLAMALAR</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color w:val="2D2D2D"/>
          <w:sz w:val="28"/>
          <w:szCs w:val="28"/>
          <w:lang w:eastAsia="tr-TR"/>
        </w:rPr>
        <w:t xml:space="preserve">Yerleşim yeri nüfusları, İçişleri Bakanlığı Nüfus ve Vatandaşlık İşleri Genel Müdürlüğü tarafından güncellenen </w:t>
      </w:r>
      <w:proofErr w:type="spellStart"/>
      <w:r w:rsidRPr="00642476">
        <w:rPr>
          <w:rFonts w:ascii="Times New Roman" w:eastAsia="Times New Roman" w:hAnsi="Times New Roman" w:cs="Times New Roman"/>
          <w:color w:val="2D2D2D"/>
          <w:sz w:val="28"/>
          <w:szCs w:val="28"/>
          <w:lang w:eastAsia="tr-TR"/>
        </w:rPr>
        <w:t>ADNKS’den</w:t>
      </w:r>
      <w:proofErr w:type="spellEnd"/>
      <w:r w:rsidRPr="00642476">
        <w:rPr>
          <w:rFonts w:ascii="Times New Roman" w:eastAsia="Times New Roman" w:hAnsi="Times New Roman" w:cs="Times New Roman"/>
          <w:color w:val="2D2D2D"/>
          <w:sz w:val="28"/>
          <w:szCs w:val="28"/>
          <w:lang w:eastAsia="tr-TR"/>
        </w:rPr>
        <w:t xml:space="preserve"> alınan nüfusla birlikte, kurumsal yerlerde kalan nüfus dikkate alınarak hesaplanmıştır. Kışla, cezaevi, huzurevi, üniversite öğrenci yurtları vb. kurumsal yerlerde kalanlar, uluslararası tanım gereği ikamet adreslerinin bulunduğu yerleşim yeri nüfusuna değil, kurumsal yerlerin bulunduğu yerleşim yeri nüfusuna dâhil edilmiştir. Ayrıca il, ilçe, belediye, köy ve mahallelere göre nüfuslar belirlenirken, 31 Aralık 2022 tarihli Ulusal Adres Veri Tabanı kayıtları kullanılmıştır.</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proofErr w:type="gramStart"/>
      <w:r w:rsidRPr="00642476">
        <w:rPr>
          <w:rFonts w:ascii="Times New Roman" w:eastAsia="Times New Roman" w:hAnsi="Times New Roman" w:cs="Times New Roman"/>
          <w:color w:val="2D2D2D"/>
          <w:sz w:val="28"/>
          <w:szCs w:val="28"/>
          <w:lang w:eastAsia="tr-TR"/>
        </w:rPr>
        <w:t xml:space="preserve">(1) Yabancı uyruklu nüfus kapsamında; referans tarihinde geçerli ikamet veya çalışma iznine sahip kişiler, uluslararası koruma kimlik belgesi gibi ikamet izni yerine geçen kimlik belgesi olan ve referans tarihinde geçerli adres beyanı olan kişiler ve izinle Türkiye Cumhuriyeti vatandaşlığından çıkmış referans tarihinde geçerli adres beyanı olan mavi kart hamili kişiler değerlendirilmiştir. </w:t>
      </w:r>
      <w:proofErr w:type="gramEnd"/>
      <w:r w:rsidRPr="00642476">
        <w:rPr>
          <w:rFonts w:ascii="Times New Roman" w:eastAsia="Times New Roman" w:hAnsi="Times New Roman" w:cs="Times New Roman"/>
          <w:color w:val="2D2D2D"/>
          <w:sz w:val="28"/>
          <w:szCs w:val="28"/>
          <w:lang w:eastAsia="tr-TR"/>
        </w:rPr>
        <w:t>Kurs, turizm, bilimsel araştırma vb. nedenlerle 3 aydan kısa süreli vize veya ikamet iznine sahip yabancılar ile geçici koruma statüsüyle ülkede bulunan Suriyeliler nüfusa dâhil değildir.</w:t>
      </w:r>
    </w:p>
    <w:p w:rsidR="00642476" w:rsidRPr="00642476" w:rsidRDefault="00642476" w:rsidP="00642476">
      <w:pPr>
        <w:spacing w:after="310" w:line="240" w:lineRule="auto"/>
        <w:jc w:val="both"/>
        <w:rPr>
          <w:rFonts w:ascii="Times New Roman" w:eastAsia="Times New Roman" w:hAnsi="Times New Roman" w:cs="Times New Roman"/>
          <w:color w:val="2D2D2D"/>
          <w:sz w:val="28"/>
          <w:szCs w:val="28"/>
          <w:lang w:eastAsia="tr-TR"/>
        </w:rPr>
      </w:pPr>
      <w:r w:rsidRPr="00642476">
        <w:rPr>
          <w:rFonts w:ascii="Times New Roman" w:eastAsia="Times New Roman" w:hAnsi="Times New Roman" w:cs="Times New Roman"/>
          <w:b/>
          <w:bCs/>
          <w:color w:val="2D2D2D"/>
          <w:sz w:val="28"/>
          <w:szCs w:val="28"/>
          <w:lang w:eastAsia="tr-TR"/>
        </w:rPr>
        <w:t>Kaynak:</w:t>
      </w:r>
      <w:r w:rsidRPr="00642476">
        <w:rPr>
          <w:rFonts w:ascii="Times New Roman" w:eastAsia="Times New Roman" w:hAnsi="Times New Roman" w:cs="Times New Roman"/>
          <w:color w:val="2D2D2D"/>
          <w:sz w:val="28"/>
          <w:szCs w:val="28"/>
          <w:lang w:eastAsia="tr-TR"/>
        </w:rPr>
        <w:t> TÜİK</w:t>
      </w:r>
    </w:p>
    <w:p w:rsidR="00642476" w:rsidRPr="00642476" w:rsidRDefault="00642476" w:rsidP="00642476">
      <w:pPr>
        <w:spacing w:after="155" w:line="240" w:lineRule="auto"/>
        <w:rPr>
          <w:rFonts w:ascii="Times New Roman" w:eastAsia="Times New Roman" w:hAnsi="Times New Roman" w:cs="Times New Roman"/>
          <w:color w:val="2D2D2D"/>
          <w:sz w:val="28"/>
          <w:szCs w:val="28"/>
          <w:lang w:eastAsia="tr-TR"/>
        </w:rPr>
      </w:pPr>
      <w:hyperlink r:id="rId4" w:history="1">
        <w:r w:rsidRPr="00642476">
          <w:rPr>
            <w:rFonts w:ascii="Times New Roman" w:eastAsia="Times New Roman" w:hAnsi="Times New Roman" w:cs="Times New Roman"/>
            <w:color w:val="FFFFFF"/>
            <w:sz w:val="28"/>
            <w:szCs w:val="28"/>
            <w:lang w:eastAsia="tr-TR"/>
          </w:rPr>
          <w:t>Paylaş</w:t>
        </w:r>
      </w:hyperlink>
    </w:p>
    <w:p w:rsidR="0003280E" w:rsidRPr="00642476" w:rsidRDefault="0003280E">
      <w:pPr>
        <w:rPr>
          <w:rFonts w:ascii="Times New Roman" w:hAnsi="Times New Roman" w:cs="Times New Roman"/>
          <w:sz w:val="28"/>
          <w:szCs w:val="28"/>
        </w:rPr>
      </w:pPr>
    </w:p>
    <w:sectPr w:rsidR="0003280E" w:rsidRPr="00642476" w:rsidSect="00032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642476"/>
    <w:rsid w:val="0003280E"/>
    <w:rsid w:val="006424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0E"/>
  </w:style>
  <w:style w:type="paragraph" w:styleId="Balk1">
    <w:name w:val="heading 1"/>
    <w:basedOn w:val="Normal"/>
    <w:link w:val="Balk1Char"/>
    <w:uiPriority w:val="9"/>
    <w:qFormat/>
    <w:rsid w:val="00642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64247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2476"/>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642476"/>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42476"/>
    <w:rPr>
      <w:color w:val="0000FF"/>
      <w:u w:val="single"/>
    </w:rPr>
  </w:style>
  <w:style w:type="paragraph" w:styleId="NormalWeb">
    <w:name w:val="Normal (Web)"/>
    <w:basedOn w:val="Normal"/>
    <w:uiPriority w:val="99"/>
    <w:semiHidden/>
    <w:unhideWhenUsed/>
    <w:rsid w:val="006424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2476"/>
    <w:rPr>
      <w:b/>
      <w:bCs/>
    </w:rPr>
  </w:style>
  <w:style w:type="character" w:customStyle="1" w:styleId="icon">
    <w:name w:val="icon"/>
    <w:basedOn w:val="VarsaylanParagrafYazTipi"/>
    <w:rsid w:val="00642476"/>
  </w:style>
</w:styles>
</file>

<file path=word/webSettings.xml><?xml version="1.0" encoding="utf-8"?>
<w:webSettings xmlns:r="http://schemas.openxmlformats.org/officeDocument/2006/relationships" xmlns:w="http://schemas.openxmlformats.org/wordprocessingml/2006/main">
  <w:divs>
    <w:div w:id="1309280815">
      <w:bodyDiv w:val="1"/>
      <w:marLeft w:val="0"/>
      <w:marRight w:val="0"/>
      <w:marTop w:val="0"/>
      <w:marBottom w:val="0"/>
      <w:divBdr>
        <w:top w:val="none" w:sz="0" w:space="0" w:color="auto"/>
        <w:left w:val="none" w:sz="0" w:space="0" w:color="auto"/>
        <w:bottom w:val="none" w:sz="0" w:space="0" w:color="auto"/>
        <w:right w:val="none" w:sz="0" w:space="0" w:color="auto"/>
      </w:divBdr>
      <w:divsChild>
        <w:div w:id="1367945740">
          <w:marLeft w:val="0"/>
          <w:marRight w:val="0"/>
          <w:marTop w:val="0"/>
          <w:marBottom w:val="248"/>
          <w:divBdr>
            <w:top w:val="none" w:sz="0" w:space="0" w:color="auto"/>
            <w:left w:val="none" w:sz="0" w:space="0" w:color="auto"/>
            <w:bottom w:val="single" w:sz="6" w:space="5" w:color="EAEAEA"/>
            <w:right w:val="none" w:sz="0" w:space="0" w:color="auto"/>
          </w:divBdr>
          <w:divsChild>
            <w:div w:id="2072148649">
              <w:marLeft w:val="0"/>
              <w:marRight w:val="0"/>
              <w:marTop w:val="0"/>
              <w:marBottom w:val="0"/>
              <w:divBdr>
                <w:top w:val="none" w:sz="0" w:space="0" w:color="auto"/>
                <w:left w:val="none" w:sz="0" w:space="0" w:color="auto"/>
                <w:bottom w:val="none" w:sz="0" w:space="0" w:color="auto"/>
                <w:right w:val="none" w:sz="0" w:space="0" w:color="auto"/>
              </w:divBdr>
            </w:div>
          </w:divsChild>
        </w:div>
        <w:div w:id="2100982237">
          <w:marLeft w:val="0"/>
          <w:marRight w:val="0"/>
          <w:marTop w:val="0"/>
          <w:marBottom w:val="0"/>
          <w:divBdr>
            <w:top w:val="none" w:sz="0" w:space="0" w:color="auto"/>
            <w:left w:val="none" w:sz="0" w:space="0" w:color="auto"/>
            <w:bottom w:val="none" w:sz="0" w:space="0" w:color="auto"/>
            <w:right w:val="none" w:sz="0" w:space="0" w:color="auto"/>
          </w:divBdr>
          <w:divsChild>
            <w:div w:id="6057084">
              <w:marLeft w:val="0"/>
              <w:marRight w:val="0"/>
              <w:marTop w:val="0"/>
              <w:marBottom w:val="0"/>
              <w:divBdr>
                <w:top w:val="none" w:sz="0" w:space="0" w:color="auto"/>
                <w:left w:val="none" w:sz="0" w:space="0" w:color="auto"/>
                <w:bottom w:val="none" w:sz="0" w:space="0" w:color="auto"/>
                <w:right w:val="none" w:sz="0" w:space="0" w:color="auto"/>
              </w:divBdr>
              <w:divsChild>
                <w:div w:id="191572745">
                  <w:marLeft w:val="0"/>
                  <w:marRight w:val="0"/>
                  <w:marTop w:val="0"/>
                  <w:marBottom w:val="0"/>
                  <w:divBdr>
                    <w:top w:val="none" w:sz="0" w:space="0" w:color="auto"/>
                    <w:left w:val="none" w:sz="0" w:space="0" w:color="auto"/>
                    <w:bottom w:val="none" w:sz="0" w:space="0" w:color="auto"/>
                    <w:right w:val="none" w:sz="0" w:space="0" w:color="auto"/>
                  </w:divBdr>
                </w:div>
                <w:div w:id="356083892">
                  <w:marLeft w:val="0"/>
                  <w:marRight w:val="0"/>
                  <w:marTop w:val="0"/>
                  <w:marBottom w:val="0"/>
                  <w:divBdr>
                    <w:top w:val="none" w:sz="0" w:space="0" w:color="auto"/>
                    <w:left w:val="none" w:sz="0" w:space="0" w:color="auto"/>
                    <w:bottom w:val="none" w:sz="0" w:space="0" w:color="auto"/>
                    <w:right w:val="none" w:sz="0" w:space="0" w:color="auto"/>
                  </w:divBdr>
                </w:div>
                <w:div w:id="1808888620">
                  <w:marLeft w:val="0"/>
                  <w:marRight w:val="0"/>
                  <w:marTop w:val="0"/>
                  <w:marBottom w:val="0"/>
                  <w:divBdr>
                    <w:top w:val="none" w:sz="0" w:space="0" w:color="auto"/>
                    <w:left w:val="none" w:sz="0" w:space="0" w:color="auto"/>
                    <w:bottom w:val="none" w:sz="0" w:space="0" w:color="auto"/>
                    <w:right w:val="none" w:sz="0" w:space="0" w:color="auto"/>
                  </w:divBdr>
                </w:div>
                <w:div w:id="2019580672">
                  <w:marLeft w:val="0"/>
                  <w:marRight w:val="0"/>
                  <w:marTop w:val="0"/>
                  <w:marBottom w:val="0"/>
                  <w:divBdr>
                    <w:top w:val="none" w:sz="0" w:space="0" w:color="auto"/>
                    <w:left w:val="none" w:sz="0" w:space="0" w:color="auto"/>
                    <w:bottom w:val="none" w:sz="0" w:space="0" w:color="auto"/>
                    <w:right w:val="none" w:sz="0" w:space="0" w:color="auto"/>
                  </w:divBdr>
                </w:div>
                <w:div w:id="900752593">
                  <w:marLeft w:val="0"/>
                  <w:marRight w:val="0"/>
                  <w:marTop w:val="0"/>
                  <w:marBottom w:val="0"/>
                  <w:divBdr>
                    <w:top w:val="none" w:sz="0" w:space="0" w:color="auto"/>
                    <w:left w:val="none" w:sz="0" w:space="0" w:color="auto"/>
                    <w:bottom w:val="none" w:sz="0" w:space="0" w:color="auto"/>
                    <w:right w:val="none" w:sz="0" w:space="0" w:color="auto"/>
                  </w:divBdr>
                </w:div>
                <w:div w:id="1274091981">
                  <w:marLeft w:val="0"/>
                  <w:marRight w:val="0"/>
                  <w:marTop w:val="0"/>
                  <w:marBottom w:val="0"/>
                  <w:divBdr>
                    <w:top w:val="none" w:sz="0" w:space="0" w:color="auto"/>
                    <w:left w:val="none" w:sz="0" w:space="0" w:color="auto"/>
                    <w:bottom w:val="none" w:sz="0" w:space="0" w:color="auto"/>
                    <w:right w:val="none" w:sz="0" w:space="0" w:color="auto"/>
                  </w:divBdr>
                </w:div>
                <w:div w:id="1242183424">
                  <w:marLeft w:val="0"/>
                  <w:marRight w:val="0"/>
                  <w:marTop w:val="0"/>
                  <w:marBottom w:val="0"/>
                  <w:divBdr>
                    <w:top w:val="none" w:sz="0" w:space="0" w:color="auto"/>
                    <w:left w:val="none" w:sz="0" w:space="0" w:color="auto"/>
                    <w:bottom w:val="none" w:sz="0" w:space="0" w:color="auto"/>
                    <w:right w:val="none" w:sz="0" w:space="0" w:color="auto"/>
                  </w:divBdr>
                </w:div>
                <w:div w:id="631597209">
                  <w:marLeft w:val="0"/>
                  <w:marRight w:val="0"/>
                  <w:marTop w:val="0"/>
                  <w:marBottom w:val="0"/>
                  <w:divBdr>
                    <w:top w:val="none" w:sz="0" w:space="0" w:color="auto"/>
                    <w:left w:val="none" w:sz="0" w:space="0" w:color="auto"/>
                    <w:bottom w:val="none" w:sz="0" w:space="0" w:color="auto"/>
                    <w:right w:val="none" w:sz="0" w:space="0" w:color="auto"/>
                  </w:divBdr>
                </w:div>
                <w:div w:id="1598949212">
                  <w:marLeft w:val="0"/>
                  <w:marRight w:val="0"/>
                  <w:marTop w:val="0"/>
                  <w:marBottom w:val="0"/>
                  <w:divBdr>
                    <w:top w:val="none" w:sz="0" w:space="0" w:color="auto"/>
                    <w:left w:val="none" w:sz="0" w:space="0" w:color="auto"/>
                    <w:bottom w:val="none" w:sz="0" w:space="0" w:color="auto"/>
                    <w:right w:val="none" w:sz="0" w:space="0" w:color="auto"/>
                  </w:divBdr>
                </w:div>
                <w:div w:id="1523468711">
                  <w:marLeft w:val="0"/>
                  <w:marRight w:val="0"/>
                  <w:marTop w:val="0"/>
                  <w:marBottom w:val="0"/>
                  <w:divBdr>
                    <w:top w:val="none" w:sz="0" w:space="0" w:color="auto"/>
                    <w:left w:val="none" w:sz="0" w:space="0" w:color="auto"/>
                    <w:bottom w:val="none" w:sz="0" w:space="0" w:color="auto"/>
                    <w:right w:val="none" w:sz="0" w:space="0" w:color="auto"/>
                  </w:divBdr>
                </w:div>
                <w:div w:id="980890319">
                  <w:marLeft w:val="0"/>
                  <w:marRight w:val="0"/>
                  <w:marTop w:val="0"/>
                  <w:marBottom w:val="0"/>
                  <w:divBdr>
                    <w:top w:val="none" w:sz="0" w:space="0" w:color="auto"/>
                    <w:left w:val="none" w:sz="0" w:space="0" w:color="auto"/>
                    <w:bottom w:val="none" w:sz="0" w:space="0" w:color="auto"/>
                    <w:right w:val="none" w:sz="0" w:space="0" w:color="auto"/>
                  </w:divBdr>
                </w:div>
                <w:div w:id="1421489988">
                  <w:marLeft w:val="0"/>
                  <w:marRight w:val="0"/>
                  <w:marTop w:val="0"/>
                  <w:marBottom w:val="0"/>
                  <w:divBdr>
                    <w:top w:val="none" w:sz="0" w:space="0" w:color="auto"/>
                    <w:left w:val="none" w:sz="0" w:space="0" w:color="auto"/>
                    <w:bottom w:val="none" w:sz="0" w:space="0" w:color="auto"/>
                    <w:right w:val="none" w:sz="0" w:space="0" w:color="auto"/>
                  </w:divBdr>
                </w:div>
                <w:div w:id="829832889">
                  <w:marLeft w:val="0"/>
                  <w:marRight w:val="0"/>
                  <w:marTop w:val="0"/>
                  <w:marBottom w:val="0"/>
                  <w:divBdr>
                    <w:top w:val="none" w:sz="0" w:space="0" w:color="auto"/>
                    <w:left w:val="none" w:sz="0" w:space="0" w:color="auto"/>
                    <w:bottom w:val="none" w:sz="0" w:space="0" w:color="auto"/>
                    <w:right w:val="none" w:sz="0" w:space="0" w:color="auto"/>
                  </w:divBdr>
                </w:div>
                <w:div w:id="1818263096">
                  <w:marLeft w:val="0"/>
                  <w:marRight w:val="0"/>
                  <w:marTop w:val="0"/>
                  <w:marBottom w:val="0"/>
                  <w:divBdr>
                    <w:top w:val="none" w:sz="0" w:space="0" w:color="auto"/>
                    <w:left w:val="none" w:sz="0" w:space="0" w:color="auto"/>
                    <w:bottom w:val="none" w:sz="0" w:space="0" w:color="auto"/>
                    <w:right w:val="none" w:sz="0" w:space="0" w:color="auto"/>
                  </w:divBdr>
                </w:div>
                <w:div w:id="1404910521">
                  <w:marLeft w:val="0"/>
                  <w:marRight w:val="0"/>
                  <w:marTop w:val="0"/>
                  <w:marBottom w:val="0"/>
                  <w:divBdr>
                    <w:top w:val="none" w:sz="0" w:space="0" w:color="auto"/>
                    <w:left w:val="none" w:sz="0" w:space="0" w:color="auto"/>
                    <w:bottom w:val="none" w:sz="0" w:space="0" w:color="auto"/>
                    <w:right w:val="none" w:sz="0" w:space="0" w:color="auto"/>
                  </w:divBdr>
                </w:div>
                <w:div w:id="808670263">
                  <w:marLeft w:val="0"/>
                  <w:marRight w:val="0"/>
                  <w:marTop w:val="0"/>
                  <w:marBottom w:val="0"/>
                  <w:divBdr>
                    <w:top w:val="none" w:sz="0" w:space="0" w:color="auto"/>
                    <w:left w:val="none" w:sz="0" w:space="0" w:color="auto"/>
                    <w:bottom w:val="none" w:sz="0" w:space="0" w:color="auto"/>
                    <w:right w:val="none" w:sz="0" w:space="0" w:color="auto"/>
                  </w:divBdr>
                </w:div>
                <w:div w:id="1381049514">
                  <w:marLeft w:val="0"/>
                  <w:marRight w:val="0"/>
                  <w:marTop w:val="0"/>
                  <w:marBottom w:val="0"/>
                  <w:divBdr>
                    <w:top w:val="none" w:sz="0" w:space="0" w:color="auto"/>
                    <w:left w:val="none" w:sz="0" w:space="0" w:color="auto"/>
                    <w:bottom w:val="none" w:sz="0" w:space="0" w:color="auto"/>
                    <w:right w:val="none" w:sz="0" w:space="0" w:color="auto"/>
                  </w:divBdr>
                </w:div>
                <w:div w:id="764962317">
                  <w:marLeft w:val="0"/>
                  <w:marRight w:val="0"/>
                  <w:marTop w:val="0"/>
                  <w:marBottom w:val="0"/>
                  <w:divBdr>
                    <w:top w:val="none" w:sz="0" w:space="0" w:color="auto"/>
                    <w:left w:val="none" w:sz="0" w:space="0" w:color="auto"/>
                    <w:bottom w:val="none" w:sz="0" w:space="0" w:color="auto"/>
                    <w:right w:val="none" w:sz="0" w:space="0" w:color="auto"/>
                  </w:divBdr>
                </w:div>
                <w:div w:id="767624379">
                  <w:marLeft w:val="0"/>
                  <w:marRight w:val="0"/>
                  <w:marTop w:val="0"/>
                  <w:marBottom w:val="0"/>
                  <w:divBdr>
                    <w:top w:val="none" w:sz="0" w:space="0" w:color="auto"/>
                    <w:left w:val="none" w:sz="0" w:space="0" w:color="auto"/>
                    <w:bottom w:val="none" w:sz="0" w:space="0" w:color="auto"/>
                    <w:right w:val="none" w:sz="0" w:space="0" w:color="auto"/>
                  </w:divBdr>
                </w:div>
                <w:div w:id="1911497958">
                  <w:marLeft w:val="0"/>
                  <w:marRight w:val="0"/>
                  <w:marTop w:val="0"/>
                  <w:marBottom w:val="0"/>
                  <w:divBdr>
                    <w:top w:val="none" w:sz="0" w:space="0" w:color="auto"/>
                    <w:left w:val="none" w:sz="0" w:space="0" w:color="auto"/>
                    <w:bottom w:val="none" w:sz="0" w:space="0" w:color="auto"/>
                    <w:right w:val="none" w:sz="0" w:space="0" w:color="auto"/>
                  </w:divBdr>
                </w:div>
                <w:div w:id="398753293">
                  <w:marLeft w:val="0"/>
                  <w:marRight w:val="0"/>
                  <w:marTop w:val="0"/>
                  <w:marBottom w:val="0"/>
                  <w:divBdr>
                    <w:top w:val="none" w:sz="0" w:space="0" w:color="auto"/>
                    <w:left w:val="none" w:sz="0" w:space="0" w:color="auto"/>
                    <w:bottom w:val="none" w:sz="0" w:space="0" w:color="auto"/>
                    <w:right w:val="none" w:sz="0" w:space="0" w:color="auto"/>
                  </w:divBdr>
                </w:div>
                <w:div w:id="1459255320">
                  <w:marLeft w:val="0"/>
                  <w:marRight w:val="0"/>
                  <w:marTop w:val="0"/>
                  <w:marBottom w:val="0"/>
                  <w:divBdr>
                    <w:top w:val="none" w:sz="0" w:space="0" w:color="auto"/>
                    <w:left w:val="none" w:sz="0" w:space="0" w:color="auto"/>
                    <w:bottom w:val="none" w:sz="0" w:space="0" w:color="auto"/>
                    <w:right w:val="none" w:sz="0" w:space="0" w:color="auto"/>
                  </w:divBdr>
                </w:div>
                <w:div w:id="1584728755">
                  <w:marLeft w:val="0"/>
                  <w:marRight w:val="0"/>
                  <w:marTop w:val="0"/>
                  <w:marBottom w:val="0"/>
                  <w:divBdr>
                    <w:top w:val="none" w:sz="0" w:space="0" w:color="auto"/>
                    <w:left w:val="none" w:sz="0" w:space="0" w:color="auto"/>
                    <w:bottom w:val="none" w:sz="0" w:space="0" w:color="auto"/>
                    <w:right w:val="none" w:sz="0" w:space="0" w:color="auto"/>
                  </w:divBdr>
                </w:div>
                <w:div w:id="41909216">
                  <w:marLeft w:val="0"/>
                  <w:marRight w:val="0"/>
                  <w:marTop w:val="0"/>
                  <w:marBottom w:val="0"/>
                  <w:divBdr>
                    <w:top w:val="none" w:sz="0" w:space="0" w:color="auto"/>
                    <w:left w:val="none" w:sz="0" w:space="0" w:color="auto"/>
                    <w:bottom w:val="none" w:sz="0" w:space="0" w:color="auto"/>
                    <w:right w:val="none" w:sz="0" w:space="0" w:color="auto"/>
                  </w:divBdr>
                </w:div>
                <w:div w:id="1625774610">
                  <w:marLeft w:val="0"/>
                  <w:marRight w:val="0"/>
                  <w:marTop w:val="0"/>
                  <w:marBottom w:val="0"/>
                  <w:divBdr>
                    <w:top w:val="none" w:sz="0" w:space="0" w:color="auto"/>
                    <w:left w:val="none" w:sz="0" w:space="0" w:color="auto"/>
                    <w:bottom w:val="none" w:sz="0" w:space="0" w:color="auto"/>
                    <w:right w:val="none" w:sz="0" w:space="0" w:color="auto"/>
                  </w:divBdr>
                </w:div>
                <w:div w:id="188494034">
                  <w:marLeft w:val="0"/>
                  <w:marRight w:val="0"/>
                  <w:marTop w:val="0"/>
                  <w:marBottom w:val="0"/>
                  <w:divBdr>
                    <w:top w:val="none" w:sz="0" w:space="0" w:color="auto"/>
                    <w:left w:val="none" w:sz="0" w:space="0" w:color="auto"/>
                    <w:bottom w:val="none" w:sz="0" w:space="0" w:color="auto"/>
                    <w:right w:val="none" w:sz="0" w:space="0" w:color="auto"/>
                  </w:divBdr>
                </w:div>
              </w:divsChild>
            </w:div>
            <w:div w:id="2024747692">
              <w:marLeft w:val="-310"/>
              <w:marRight w:val="-310"/>
              <w:marTop w:val="0"/>
              <w:marBottom w:val="0"/>
              <w:divBdr>
                <w:top w:val="single" w:sz="6" w:space="16" w:color="EAEAEA"/>
                <w:left w:val="none" w:sz="0" w:space="0" w:color="auto"/>
                <w:bottom w:val="none" w:sz="0" w:space="0" w:color="auto"/>
                <w:right w:val="none" w:sz="0" w:space="0" w:color="auto"/>
              </w:divBdr>
              <w:divsChild>
                <w:div w:id="27680057">
                  <w:marLeft w:val="0"/>
                  <w:marRight w:val="155"/>
                  <w:marTop w:val="0"/>
                  <w:marBottom w:val="15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omaliye.com/2023/02/06/turkiye-nufus-sayisi-aciklandi-202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2023-02-06T11:19:00Z</dcterms:created>
  <dcterms:modified xsi:type="dcterms:W3CDTF">2023-02-06T11:20:00Z</dcterms:modified>
</cp:coreProperties>
</file>