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22" w:rsidRPr="00EC2E22" w:rsidRDefault="00EC2E22" w:rsidP="00EC2E22">
      <w:pPr>
        <w:spacing w:after="225" w:line="240" w:lineRule="auto"/>
        <w:outlineLvl w:val="2"/>
        <w:rPr>
          <w:rFonts w:ascii="Arial" w:eastAsia="Times New Roman" w:hAnsi="Arial" w:cs="Arial"/>
          <w:b/>
          <w:bCs/>
          <w:color w:val="E30613"/>
          <w:sz w:val="27"/>
          <w:szCs w:val="27"/>
          <w:lang w:eastAsia="tr-TR"/>
        </w:rPr>
      </w:pPr>
      <w:r w:rsidRPr="00EC2E22">
        <w:rPr>
          <w:rFonts w:ascii="Arial" w:eastAsia="Times New Roman" w:hAnsi="Arial" w:cs="Arial"/>
          <w:b/>
          <w:bCs/>
          <w:color w:val="E30613"/>
          <w:sz w:val="27"/>
          <w:szCs w:val="27"/>
          <w:lang w:eastAsia="tr-TR"/>
        </w:rPr>
        <w:t>6102 Sayılı Türk Ticaret Kanunu'nda İdari Para Cezası Uygulanacak Ve Kabahat Olarak Tanımlanan Fiiller</w:t>
      </w:r>
    </w:p>
    <w:tbl>
      <w:tblPr>
        <w:tblW w:w="5000" w:type="pct"/>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tblPr>
      <w:tblGrid>
        <w:gridCol w:w="7917"/>
        <w:gridCol w:w="1185"/>
      </w:tblGrid>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jc w:val="center"/>
              <w:rPr>
                <w:rFonts w:ascii="Times New Roman" w:eastAsia="Times New Roman" w:hAnsi="Times New Roman" w:cs="Times New Roman"/>
                <w:b/>
                <w:bCs/>
                <w:color w:val="212529"/>
                <w:sz w:val="24"/>
                <w:szCs w:val="24"/>
                <w:lang w:eastAsia="tr-TR"/>
              </w:rPr>
            </w:pPr>
            <w:hyperlink r:id="rId4" w:history="1">
              <w:r w:rsidRPr="00EC2E22">
                <w:rPr>
                  <w:rFonts w:ascii="Times New Roman" w:eastAsia="Times New Roman" w:hAnsi="Times New Roman" w:cs="Times New Roman"/>
                  <w:b/>
                  <w:bCs/>
                  <w:color w:val="000000"/>
                  <w:sz w:val="24"/>
                  <w:szCs w:val="24"/>
                  <w:lang w:eastAsia="tr-TR"/>
                </w:rPr>
                <w:t>6102 Sayılı Türk Ticaret Kanunu</w:t>
              </w:r>
            </w:hyperlink>
            <w:r w:rsidRPr="00EC2E22">
              <w:rPr>
                <w:rFonts w:ascii="Times New Roman" w:eastAsia="Times New Roman" w:hAnsi="Times New Roman" w:cs="Times New Roman"/>
                <w:b/>
                <w:bCs/>
                <w:color w:val="212529"/>
                <w:sz w:val="24"/>
                <w:szCs w:val="24"/>
                <w:lang w:eastAsia="tr-TR"/>
              </w:rPr>
              <w:t>‘</w:t>
            </w:r>
            <w:proofErr w:type="spellStart"/>
            <w:r w:rsidRPr="00EC2E22">
              <w:rPr>
                <w:rFonts w:ascii="Times New Roman" w:eastAsia="Times New Roman" w:hAnsi="Times New Roman" w:cs="Times New Roman"/>
                <w:b/>
                <w:bCs/>
                <w:color w:val="212529"/>
                <w:sz w:val="24"/>
                <w:szCs w:val="24"/>
                <w:lang w:eastAsia="tr-TR"/>
              </w:rPr>
              <w:t>nda</w:t>
            </w:r>
            <w:proofErr w:type="spellEnd"/>
            <w:r w:rsidRPr="00EC2E22">
              <w:rPr>
                <w:rFonts w:ascii="Times New Roman" w:eastAsia="Times New Roman" w:hAnsi="Times New Roman" w:cs="Times New Roman"/>
                <w:b/>
                <w:bCs/>
                <w:color w:val="212529"/>
                <w:sz w:val="24"/>
                <w:szCs w:val="24"/>
                <w:lang w:eastAsia="tr-TR"/>
              </w:rPr>
              <w:t xml:space="preserve"> Kabahat Olarak Tanımlanan Fiil/Fiiller</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jc w:val="center"/>
              <w:rPr>
                <w:rFonts w:ascii="Times New Roman" w:eastAsia="Times New Roman" w:hAnsi="Times New Roman" w:cs="Times New Roman"/>
                <w:b/>
                <w:bCs/>
                <w:color w:val="212529"/>
                <w:sz w:val="24"/>
                <w:szCs w:val="24"/>
                <w:lang w:eastAsia="tr-TR"/>
              </w:rPr>
            </w:pPr>
            <w:r w:rsidRPr="00EC2E22">
              <w:rPr>
                <w:rFonts w:ascii="Times New Roman" w:eastAsia="Times New Roman" w:hAnsi="Times New Roman" w:cs="Times New Roman"/>
                <w:b/>
                <w:bCs/>
                <w:color w:val="212529"/>
                <w:sz w:val="24"/>
                <w:szCs w:val="24"/>
                <w:lang w:eastAsia="tr-TR"/>
              </w:rPr>
              <w:t>2022</w:t>
            </w:r>
            <w:r w:rsidRPr="00EC2E22">
              <w:rPr>
                <w:rFonts w:ascii="Times New Roman" w:eastAsia="Times New Roman" w:hAnsi="Times New Roman" w:cs="Times New Roman"/>
                <w:b/>
                <w:bCs/>
                <w:i/>
                <w:iCs/>
                <w:color w:val="212529"/>
                <w:sz w:val="24"/>
                <w:szCs w:val="24"/>
                <w:lang w:eastAsia="tr-TR"/>
              </w:rPr>
              <w:t>(TL)</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Tescil ve kayıt için gerçeğe aykırı beyanda bulunulması (Md.38/1)</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Tacirin, ticari işletmesine ilişkin işlemleri, ticaret unvanıyla yapmaması ve işletmesiyle ilgili senetlerle diğer belgeleri bu unvan altında imzalamaması  (Md.39/1,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Tescil edilen ticaret unvanının, ticari işletmenin görülebilecek bir yerine okunaklı bir şekilde yazılmaması (Md.39/2,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Ticari mektuplarda ve ticari defterlerin dayanağını oluşturan belgelerde ticaret unvanının, işletmenin merkezinin, ticaret sicili numarasının ve şirket internet sitesi oluşturma yükümlülüğüne tabi ise internet sitesi adresinin gösterilmemesi, internet sitesi yükümlülüğü olan sermaye şirketlerince bu bilgilerin internet sitesine konulmaması (Md.39/2,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proofErr w:type="gramStart"/>
            <w:r w:rsidRPr="00EC2E22">
              <w:rPr>
                <w:rFonts w:ascii="Times New Roman" w:eastAsia="Times New Roman" w:hAnsi="Times New Roman" w:cs="Times New Roman"/>
                <w:color w:val="212529"/>
                <w:sz w:val="24"/>
                <w:szCs w:val="24"/>
                <w:lang w:eastAsia="tr-TR"/>
              </w:rPr>
              <w:t xml:space="preserve">İnternet sitesi kurma yükümlülüğü olan anonim şirketlerin; yönetim kurulu başkan ve üyelerinin adları ve soyadları ile taahhüt edilen ve ödenen sermaye miktarını, </w:t>
            </w:r>
            <w:proofErr w:type="spellStart"/>
            <w:r w:rsidRPr="00EC2E22">
              <w:rPr>
                <w:rFonts w:ascii="Times New Roman" w:eastAsia="Times New Roman" w:hAnsi="Times New Roman" w:cs="Times New Roman"/>
                <w:color w:val="212529"/>
                <w:sz w:val="24"/>
                <w:szCs w:val="24"/>
                <w:lang w:eastAsia="tr-TR"/>
              </w:rPr>
              <w:t>limited</w:t>
            </w:r>
            <w:proofErr w:type="spellEnd"/>
            <w:r w:rsidRPr="00EC2E22">
              <w:rPr>
                <w:rFonts w:ascii="Times New Roman" w:eastAsia="Times New Roman" w:hAnsi="Times New Roman" w:cs="Times New Roman"/>
                <w:color w:val="212529"/>
                <w:sz w:val="24"/>
                <w:szCs w:val="24"/>
                <w:lang w:eastAsia="tr-TR"/>
              </w:rPr>
              <w:t xml:space="preserve"> şirketlerin; müdürlerinin adları ve soyadları ile taahhüt edilen ve ödenen sermaye miktarını, sermayesi paylara bölünmüş komandit şirketlerin de yöneticilerinin adları ve soyadları ile taahhüt edilen ve ödenen sermaye miktarını, internet sitelerinde yayımlamamaları (Md.39/2, 51/2)</w:t>
            </w:r>
            <w:proofErr w:type="gramEnd"/>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 xml:space="preserve">Tacirin, ticari işletmenin açıldığı günden itibaren </w:t>
            </w:r>
            <w:proofErr w:type="spellStart"/>
            <w:r w:rsidRPr="00EC2E22">
              <w:rPr>
                <w:rFonts w:ascii="Times New Roman" w:eastAsia="Times New Roman" w:hAnsi="Times New Roman" w:cs="Times New Roman"/>
                <w:color w:val="212529"/>
                <w:sz w:val="24"/>
                <w:szCs w:val="24"/>
                <w:lang w:eastAsia="tr-TR"/>
              </w:rPr>
              <w:t>onbeş</w:t>
            </w:r>
            <w:proofErr w:type="spellEnd"/>
            <w:r w:rsidRPr="00EC2E22">
              <w:rPr>
                <w:rFonts w:ascii="Times New Roman" w:eastAsia="Times New Roman" w:hAnsi="Times New Roman" w:cs="Times New Roman"/>
                <w:color w:val="212529"/>
                <w:sz w:val="24"/>
                <w:szCs w:val="24"/>
                <w:lang w:eastAsia="tr-TR"/>
              </w:rPr>
              <w:t xml:space="preserve"> gün içinde, ticari işletmesini ve seçtiği ticaret unvanını tescil ve ilan ettirmemesi (Md.40/1,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Tacirin kullanacağı ticaret unvanını ve bunun altına atacağı imzayı, notere onaylattırdıktan sonra sicil müdürlüğüne vermemesi, tacir tüzel kişi ise, unvanla birlikte onun adına imzaya yetkili kimselerin imzalarının notere onaylattırılarak sicil müdürlüğüne verilmemesi (Md.40/2,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 xml:space="preserve">Merkezi Türkiye’de bulunan ticari işletmelerin şubelerinin, açıldıkları günden itibaren </w:t>
            </w:r>
            <w:proofErr w:type="spellStart"/>
            <w:r w:rsidRPr="00EC2E22">
              <w:rPr>
                <w:rFonts w:ascii="Times New Roman" w:eastAsia="Times New Roman" w:hAnsi="Times New Roman" w:cs="Times New Roman"/>
                <w:color w:val="212529"/>
                <w:sz w:val="24"/>
                <w:szCs w:val="24"/>
                <w:lang w:eastAsia="tr-TR"/>
              </w:rPr>
              <w:t>onbeş</w:t>
            </w:r>
            <w:proofErr w:type="spellEnd"/>
            <w:r w:rsidRPr="00EC2E22">
              <w:rPr>
                <w:rFonts w:ascii="Times New Roman" w:eastAsia="Times New Roman" w:hAnsi="Times New Roman" w:cs="Times New Roman"/>
                <w:color w:val="212529"/>
                <w:sz w:val="24"/>
                <w:szCs w:val="24"/>
                <w:lang w:eastAsia="tr-TR"/>
              </w:rPr>
              <w:t xml:space="preserve"> gün içinde kendilerini ve seçtikleri ticaret unvanını bulundukları yerin ticaret siciline tescil ve ilan ettirmemeleri, şube adına temsile yetkili kişilerin imzalarını notere onaylattıktan sonra sicil müdürüne vermemeleri (Md.40/3,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proofErr w:type="gramStart"/>
            <w:r w:rsidRPr="00EC2E22">
              <w:rPr>
                <w:rFonts w:ascii="Times New Roman" w:eastAsia="Times New Roman" w:hAnsi="Times New Roman" w:cs="Times New Roman"/>
                <w:color w:val="212529"/>
                <w:sz w:val="24"/>
                <w:szCs w:val="24"/>
                <w:lang w:eastAsia="tr-TR"/>
              </w:rPr>
              <w:t xml:space="preserve">Merkezleri Türkiye dışında bulunan ticari işletmelerin Türkiye’deki şubelerinin, açıldıkları günden itibaren </w:t>
            </w:r>
            <w:proofErr w:type="spellStart"/>
            <w:r w:rsidRPr="00EC2E22">
              <w:rPr>
                <w:rFonts w:ascii="Times New Roman" w:eastAsia="Times New Roman" w:hAnsi="Times New Roman" w:cs="Times New Roman"/>
                <w:color w:val="212529"/>
                <w:sz w:val="24"/>
                <w:szCs w:val="24"/>
                <w:lang w:eastAsia="tr-TR"/>
              </w:rPr>
              <w:t>onbeş</w:t>
            </w:r>
            <w:proofErr w:type="spellEnd"/>
            <w:r w:rsidRPr="00EC2E22">
              <w:rPr>
                <w:rFonts w:ascii="Times New Roman" w:eastAsia="Times New Roman" w:hAnsi="Times New Roman" w:cs="Times New Roman"/>
                <w:color w:val="212529"/>
                <w:sz w:val="24"/>
                <w:szCs w:val="24"/>
                <w:lang w:eastAsia="tr-TR"/>
              </w:rPr>
              <w:t xml:space="preserve"> gün içinde kendilerini ve seçtikleri ticaret unvanını bulundukları yerin ticaret siciline tescil ve ilan ettirmemeleri, şube adına temsile yetkili kişilerin imzalarını notere onaylattıktan sonra sicil müdürüne vermemeleri, yerleşim yeri Türkiye’de bulunan tam yetkili bir ticari mümessil atamamaları (Md.40/4, 51/2)</w:t>
            </w:r>
            <w:proofErr w:type="gramEnd"/>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Gerçek kişi tacirin ticaret unvanındaki adının ve soyadının kısaltılarak yazılması (Md.41,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proofErr w:type="spellStart"/>
            <w:r w:rsidRPr="00EC2E22">
              <w:rPr>
                <w:rFonts w:ascii="Times New Roman" w:eastAsia="Times New Roman" w:hAnsi="Times New Roman" w:cs="Times New Roman"/>
                <w:color w:val="212529"/>
                <w:sz w:val="24"/>
                <w:szCs w:val="24"/>
                <w:lang w:eastAsia="tr-TR"/>
              </w:rPr>
              <w:t>Kollektif</w:t>
            </w:r>
            <w:proofErr w:type="spellEnd"/>
            <w:r w:rsidRPr="00EC2E22">
              <w:rPr>
                <w:rFonts w:ascii="Times New Roman" w:eastAsia="Times New Roman" w:hAnsi="Times New Roman" w:cs="Times New Roman"/>
                <w:color w:val="212529"/>
                <w:sz w:val="24"/>
                <w:szCs w:val="24"/>
                <w:lang w:eastAsia="tr-TR"/>
              </w:rPr>
              <w:t xml:space="preserve"> şirketin ticaret unvanında, bütün ortakların veya ortaklardan en az birinin adı ve soyadıyla şirketin ve türünü gösterecek bir ibareye yer verilmemesi (Md.42/1,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Adi veya sermayesi paylara bölünmüş komandit şirketlerin ticaret unvanlarında, komandite ortaklardan en az birinin adının ve soyadının, şirketin ve türünün gösterilmemesi, bu şirketlerin ticaret unvanlarında komanditer ortakların adları ve soyadlarına yer verilmesi (Md.42/2,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proofErr w:type="gramStart"/>
            <w:r w:rsidRPr="00EC2E22">
              <w:rPr>
                <w:rFonts w:ascii="Times New Roman" w:eastAsia="Times New Roman" w:hAnsi="Times New Roman" w:cs="Times New Roman"/>
                <w:color w:val="212529"/>
                <w:sz w:val="24"/>
                <w:szCs w:val="24"/>
                <w:lang w:eastAsia="tr-TR"/>
              </w:rPr>
              <w:lastRenderedPageBreak/>
              <w:t xml:space="preserve">Anonim, </w:t>
            </w:r>
            <w:proofErr w:type="spellStart"/>
            <w:r w:rsidRPr="00EC2E22">
              <w:rPr>
                <w:rFonts w:ascii="Times New Roman" w:eastAsia="Times New Roman" w:hAnsi="Times New Roman" w:cs="Times New Roman"/>
                <w:color w:val="212529"/>
                <w:sz w:val="24"/>
                <w:szCs w:val="24"/>
                <w:lang w:eastAsia="tr-TR"/>
              </w:rPr>
              <w:t>limited</w:t>
            </w:r>
            <w:proofErr w:type="spellEnd"/>
            <w:r w:rsidRPr="00EC2E22">
              <w:rPr>
                <w:rFonts w:ascii="Times New Roman" w:eastAsia="Times New Roman" w:hAnsi="Times New Roman" w:cs="Times New Roman"/>
                <w:color w:val="212529"/>
                <w:sz w:val="24"/>
                <w:szCs w:val="24"/>
                <w:lang w:eastAsia="tr-TR"/>
              </w:rPr>
              <w:t xml:space="preserve"> ve kooperatif şirketlerin, ticaret unvanlarında işletme konusunun gösterilmemesi, ticaret unvanlarında, “anonim şirket”, “</w:t>
            </w:r>
            <w:proofErr w:type="spellStart"/>
            <w:r w:rsidRPr="00EC2E22">
              <w:rPr>
                <w:rFonts w:ascii="Times New Roman" w:eastAsia="Times New Roman" w:hAnsi="Times New Roman" w:cs="Times New Roman"/>
                <w:color w:val="212529"/>
                <w:sz w:val="24"/>
                <w:szCs w:val="24"/>
                <w:lang w:eastAsia="tr-TR"/>
              </w:rPr>
              <w:t>limited</w:t>
            </w:r>
            <w:proofErr w:type="spellEnd"/>
            <w:r w:rsidRPr="00EC2E22">
              <w:rPr>
                <w:rFonts w:ascii="Times New Roman" w:eastAsia="Times New Roman" w:hAnsi="Times New Roman" w:cs="Times New Roman"/>
                <w:color w:val="212529"/>
                <w:sz w:val="24"/>
                <w:szCs w:val="24"/>
                <w:lang w:eastAsia="tr-TR"/>
              </w:rPr>
              <w:t xml:space="preserve"> şirket” ve “kooperatif” kelimelerinin bulunmaması, bu şirketlerin ticaret unvanında, gerçek bir kişinin adı veya soyadı yer aldığı takdirde, şirket türünü gösteren ibarelerin, baş harflerle veya başka bir şekilde kısaltma yapılarak yazılması (Md.43, 51/2)</w:t>
            </w:r>
            <w:proofErr w:type="gramEnd"/>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proofErr w:type="gramStart"/>
            <w:r w:rsidRPr="00EC2E22">
              <w:rPr>
                <w:rFonts w:ascii="Times New Roman" w:eastAsia="Times New Roman" w:hAnsi="Times New Roman" w:cs="Times New Roman"/>
                <w:color w:val="212529"/>
                <w:sz w:val="24"/>
                <w:szCs w:val="24"/>
                <w:lang w:eastAsia="tr-TR"/>
              </w:rPr>
              <w:t>Ticari işletmeye sahip olan dernek, vakıf ve diğer tüzel kişilerin ticaret unvanlarında adlarının bulunmaması, donatma iştirakinin ticaret unvanında, ortak donatanlardan en az birinin adı ve soyadının veya deniz ticaretinde kullanılan geminin adının yer almaması, ticaret unvanındaki soyadların ve geminin adının kısaltılması, ticaret unvanında donatma iştirakinin belirtilmemesi (Md.44, 51/2)</w:t>
            </w:r>
            <w:proofErr w:type="gramEnd"/>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Bir ticaret unvanına Türkiye’nin herhangi bir sicil dairesinde daha önce tescil edilmiş bulunan diğer bir unvandan ayırt edilmesi için gerekli olduğu takdirde, ek yapılmaması (Md.</w:t>
            </w:r>
            <w:proofErr w:type="gramStart"/>
            <w:r w:rsidRPr="00EC2E22">
              <w:rPr>
                <w:rFonts w:ascii="Times New Roman" w:eastAsia="Times New Roman" w:hAnsi="Times New Roman" w:cs="Times New Roman"/>
                <w:color w:val="212529"/>
                <w:sz w:val="24"/>
                <w:szCs w:val="24"/>
                <w:lang w:eastAsia="tr-TR"/>
              </w:rPr>
              <w:t>45,51/2</w:t>
            </w:r>
            <w:proofErr w:type="gramEnd"/>
            <w:r w:rsidRPr="00EC2E22">
              <w:rPr>
                <w:rFonts w:ascii="Times New Roman" w:eastAsia="Times New Roman" w:hAnsi="Times New Roman" w:cs="Times New Roman"/>
                <w:color w:val="212529"/>
                <w:sz w:val="24"/>
                <w:szCs w:val="24"/>
                <w:lang w:eastAsia="tr-TR"/>
              </w:rPr>
              <w:t>)</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Her şubenin, kendi merkezinin ticaret unvanını, şube olduğunu belirterek kullanmaması (Md.48,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Merkezi yabancı ülkede bulunan bir işletmenin Türkiye’deki şubesinin ticaret unvanında, merkezin ve şubenin bulunduğu yerlerin ve şube olduğunun gösterilmemesi (Md.48,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İşletme adının tescil ve ilan ettirilmemesi (Md.53, 51/2)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6.966</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Defterlerin üçüncü kişi uzmanlara, makul bir süre içinde yapacakları incelemede işletmenin faaliyetleri ve finansal durumu hakkında fikir verebilecek şekilde tutulmaması (64/1, 562/1-a)</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İşletme faaliyetlerinin oluşumunun ve gelişmesinin defterlerden izlenememesi (Md.64/1, 562/1-a)</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Tacirin, işletmesiyle ilgili olarak gönderilmiş bulunan her türlü belgenin, kopyasını, yazılı, görsel veya elektronik ortamda saklamaması (Md.64/2, 562/1-b)</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Ticari defterlerin açılış veya kapanış onaylarının yaptırılmaması (Md.64/3, 562/1-c)</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Defterlerin Türkçe tutulmaması (Md.65/1, 562/1-d)</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Defterlerde, kısaltmaların, harflerin, rakamların ve sembollerin kullanılması halinde bunların anlamlarının açıkça belirtilmemesi (Md.65/1, 562/1-d)</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Defterlere yazımların ve diğer gerekli kayıtların eksiksiz doğru, zamanında ve düzenli olarak yapılmaması (Md.65/2, 562/1-d)</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Defterlere yapılan bir kaydın, önceki içeriği belirlenemeyecek şekilde çizilmesi ve değiştirilmesi (Md.65/3, 562/1-d)</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Defterlerde, kayıt sırasında mı yoksa daha sonra mı yapıldığı anlaşılmayan değiştirmelerin yapılması (Md.65/3, 562/1-d)</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Defterlerin ve diğer kayıtların elektronik ortamda tutulması durumunda, bu bilgilerin her zaman kolaylıkla okunmasının temin edilmemiş olması (Md.65/4, 562/1-d)</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 xml:space="preserve">Hileli </w:t>
            </w:r>
            <w:proofErr w:type="gramStart"/>
            <w:r w:rsidRPr="00EC2E22">
              <w:rPr>
                <w:rFonts w:ascii="Times New Roman" w:eastAsia="Times New Roman" w:hAnsi="Times New Roman" w:cs="Times New Roman"/>
                <w:color w:val="212529"/>
                <w:sz w:val="24"/>
                <w:szCs w:val="24"/>
                <w:lang w:eastAsia="tr-TR"/>
              </w:rPr>
              <w:t>envanter</w:t>
            </w:r>
            <w:proofErr w:type="gramEnd"/>
            <w:r w:rsidRPr="00EC2E22">
              <w:rPr>
                <w:rFonts w:ascii="Times New Roman" w:eastAsia="Times New Roman" w:hAnsi="Times New Roman" w:cs="Times New Roman"/>
                <w:color w:val="212529"/>
                <w:sz w:val="24"/>
                <w:szCs w:val="24"/>
                <w:lang w:eastAsia="tr-TR"/>
              </w:rPr>
              <w:t xml:space="preserve"> çıkarılması (Md.66, 562/1-e)</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Elektronik ortamda saklanan belgelerin ibraz edilememesi (Md.86, 562/1-f)</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Finansal tabloların, Kamu Gözetimi, Muhasebe ve Denetim Standartları Kurumu tarafından yayımlanan muhasebe standartlarına göre düzenlenmemesi (Md.88, 562/2)</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13.949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Tescile davet ve cezası(Md.33)</w:t>
            </w:r>
          </w:p>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 xml:space="preserve">Tescili zorunlu olup da kanuni şekilde ve süresi içinde tescili istenmemiş olan veya 32 </w:t>
            </w:r>
            <w:proofErr w:type="spellStart"/>
            <w:r w:rsidRPr="00EC2E22">
              <w:rPr>
                <w:rFonts w:ascii="Times New Roman" w:eastAsia="Times New Roman" w:hAnsi="Times New Roman" w:cs="Times New Roman"/>
                <w:color w:val="212529"/>
                <w:sz w:val="24"/>
                <w:szCs w:val="24"/>
                <w:lang w:eastAsia="tr-TR"/>
              </w:rPr>
              <w:t>nci</w:t>
            </w:r>
            <w:proofErr w:type="spellEnd"/>
            <w:r w:rsidRPr="00EC2E22">
              <w:rPr>
                <w:rFonts w:ascii="Times New Roman" w:eastAsia="Times New Roman" w:hAnsi="Times New Roman" w:cs="Times New Roman"/>
                <w:color w:val="212529"/>
                <w:sz w:val="24"/>
                <w:szCs w:val="24"/>
                <w:lang w:eastAsia="tr-TR"/>
              </w:rPr>
              <w:t xml:space="preserve"> maddenin üçüncü fıkrasındaki şartlara uymayan bir hususu haber alan sicil müdürü, ilgilileri, belirleyeceği uygun bir süre içinde kanuni zorunluluklarını yerine getirmeye veya o hususun tescilini gerektiren sebeplerin bulunmadığını ispat etmeye çağırır.</w:t>
            </w:r>
          </w:p>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Sicil müdürünce verilen süre içinde tescil isteminde bulunmayan ve kaçınma sebeplerini de bildirmeyen kişi, sicil müdürünün teklifi üzerine mahallin en büyük mülki amiri tarafından bin Türk Lirası idari para cezasıyla (5326 sayılı Kanun Madde:17) cezalandırılır</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3479</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Hamiline yazılı pay sahipleri ile sahip oldukları paya ilişkin bilgilerin, senetler pay sahiplerine dağıtılmadan önce Merkezi Kayıt Kuruluşuna bildirilmemesi (TTK m.486,562/5-13a)</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27240</w:t>
            </w:r>
          </w:p>
        </w:tc>
      </w:tr>
      <w:tr w:rsidR="00EC2E22" w:rsidRPr="00EC2E22" w:rsidTr="00EC2E22">
        <w:tc>
          <w:tcPr>
            <w:tcW w:w="4349"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                                     (TTK m.489,562/5-13b)</w:t>
            </w:r>
          </w:p>
        </w:tc>
        <w:tc>
          <w:tcPr>
            <w:tcW w:w="651" w:type="pct"/>
            <w:tcBorders>
              <w:top w:val="single" w:sz="6" w:space="0" w:color="DEE2E6"/>
              <w:left w:val="single" w:sz="6" w:space="0" w:color="DEE2E6"/>
              <w:bottom w:val="single" w:sz="6" w:space="0" w:color="DEE2E6"/>
              <w:right w:val="single" w:sz="6" w:space="0" w:color="DEE2E6"/>
            </w:tcBorders>
            <w:hideMark/>
          </w:tcPr>
          <w:p w:rsidR="00EC2E22" w:rsidRPr="00EC2E22" w:rsidRDefault="00EC2E22" w:rsidP="00EC2E22">
            <w:pPr>
              <w:spacing w:after="0" w:line="240" w:lineRule="auto"/>
              <w:rPr>
                <w:rFonts w:ascii="Times New Roman" w:eastAsia="Times New Roman" w:hAnsi="Times New Roman" w:cs="Times New Roman"/>
                <w:color w:val="212529"/>
                <w:sz w:val="24"/>
                <w:szCs w:val="24"/>
                <w:lang w:eastAsia="tr-TR"/>
              </w:rPr>
            </w:pPr>
            <w:r w:rsidRPr="00EC2E22">
              <w:rPr>
                <w:rFonts w:ascii="Times New Roman" w:eastAsia="Times New Roman" w:hAnsi="Times New Roman" w:cs="Times New Roman"/>
                <w:color w:val="212529"/>
                <w:sz w:val="24"/>
                <w:szCs w:val="24"/>
                <w:lang w:eastAsia="tr-TR"/>
              </w:rPr>
              <w:t>6810</w:t>
            </w:r>
          </w:p>
        </w:tc>
      </w:tr>
    </w:tbl>
    <w:p w:rsidR="003864BF" w:rsidRDefault="003864BF"/>
    <w:sectPr w:rsidR="003864BF" w:rsidSect="003864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C2E22"/>
    <w:rsid w:val="003864BF"/>
    <w:rsid w:val="00EC2E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BF"/>
  </w:style>
  <w:style w:type="paragraph" w:styleId="Balk3">
    <w:name w:val="heading 3"/>
    <w:basedOn w:val="Normal"/>
    <w:link w:val="Balk3Char"/>
    <w:uiPriority w:val="9"/>
    <w:qFormat/>
    <w:rsid w:val="00EC2E2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C2E2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EC2E22"/>
    <w:rPr>
      <w:b/>
      <w:bCs/>
    </w:rPr>
  </w:style>
  <w:style w:type="character" w:styleId="Kpr">
    <w:name w:val="Hyperlink"/>
    <w:basedOn w:val="VarsaylanParagrafYazTipi"/>
    <w:uiPriority w:val="99"/>
    <w:semiHidden/>
    <w:unhideWhenUsed/>
    <w:rsid w:val="00EC2E22"/>
    <w:rPr>
      <w:color w:val="0000FF"/>
      <w:u w:val="single"/>
    </w:rPr>
  </w:style>
  <w:style w:type="character" w:styleId="Vurgu">
    <w:name w:val="Emphasis"/>
    <w:basedOn w:val="VarsaylanParagrafYazTipi"/>
    <w:uiPriority w:val="20"/>
    <w:qFormat/>
    <w:rsid w:val="00EC2E22"/>
    <w:rPr>
      <w:i/>
      <w:iCs/>
    </w:rPr>
  </w:style>
</w:styles>
</file>

<file path=word/webSettings.xml><?xml version="1.0" encoding="utf-8"?>
<w:webSettings xmlns:r="http://schemas.openxmlformats.org/officeDocument/2006/relationships" xmlns:w="http://schemas.openxmlformats.org/wordprocessingml/2006/main">
  <w:divs>
    <w:div w:id="1736977326">
      <w:bodyDiv w:val="1"/>
      <w:marLeft w:val="0"/>
      <w:marRight w:val="0"/>
      <w:marTop w:val="0"/>
      <w:marBottom w:val="0"/>
      <w:divBdr>
        <w:top w:val="none" w:sz="0" w:space="0" w:color="auto"/>
        <w:left w:val="none" w:sz="0" w:space="0" w:color="auto"/>
        <w:bottom w:val="none" w:sz="0" w:space="0" w:color="auto"/>
        <w:right w:val="none" w:sz="0" w:space="0" w:color="auto"/>
      </w:divBdr>
      <w:divsChild>
        <w:div w:id="1381249418">
          <w:marLeft w:val="0"/>
          <w:marRight w:val="0"/>
          <w:marTop w:val="0"/>
          <w:marBottom w:val="0"/>
          <w:divBdr>
            <w:top w:val="none" w:sz="0" w:space="0" w:color="auto"/>
            <w:left w:val="none" w:sz="0" w:space="0" w:color="auto"/>
            <w:bottom w:val="none" w:sz="0" w:space="0" w:color="auto"/>
            <w:right w:val="none" w:sz="0" w:space="0" w:color="auto"/>
          </w:divBdr>
          <w:divsChild>
            <w:div w:id="1439258969">
              <w:marLeft w:val="0"/>
              <w:marRight w:val="0"/>
              <w:marTop w:val="0"/>
              <w:marBottom w:val="0"/>
              <w:divBdr>
                <w:top w:val="none" w:sz="0" w:space="0" w:color="auto"/>
                <w:left w:val="none" w:sz="0" w:space="0" w:color="auto"/>
                <w:bottom w:val="none" w:sz="0" w:space="0" w:color="auto"/>
                <w:right w:val="none" w:sz="0" w:space="0" w:color="auto"/>
              </w:divBdr>
            </w:div>
          </w:divsChild>
        </w:div>
        <w:div w:id="430667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omaliye.com/2011/02/14/turk-ticaret-kanunu-6102-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2023-06-06T12:15:00Z</dcterms:created>
  <dcterms:modified xsi:type="dcterms:W3CDTF">2023-06-06T12:17:00Z</dcterms:modified>
</cp:coreProperties>
</file>