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153" w:rsidRPr="00FA7153" w:rsidRDefault="00FA7153" w:rsidP="00FA7153">
      <w:pPr>
        <w:shd w:val="clear" w:color="auto" w:fill="FFFFFF"/>
        <w:spacing w:after="232" w:line="557" w:lineRule="atLeast"/>
        <w:jc w:val="both"/>
        <w:outlineLvl w:val="0"/>
        <w:rPr>
          <w:rFonts w:ascii="Times New Roman" w:eastAsia="Times New Roman" w:hAnsi="Times New Roman" w:cs="Times New Roman"/>
          <w:color w:val="497C95"/>
          <w:kern w:val="36"/>
          <w:sz w:val="28"/>
          <w:szCs w:val="28"/>
          <w:lang w:eastAsia="tr-TR"/>
        </w:rPr>
      </w:pPr>
      <w:r w:rsidRPr="00FA7153">
        <w:rPr>
          <w:rFonts w:ascii="Times New Roman" w:eastAsia="Times New Roman" w:hAnsi="Times New Roman" w:cs="Times New Roman"/>
          <w:color w:val="497C95"/>
          <w:kern w:val="36"/>
          <w:sz w:val="28"/>
          <w:szCs w:val="28"/>
          <w:lang w:eastAsia="tr-TR"/>
        </w:rPr>
        <w:t>BİRLEŞTİRME (Tevhit)</w:t>
      </w:r>
    </w:p>
    <w:p w:rsidR="00FA7153" w:rsidRPr="00FA7153" w:rsidRDefault="00FA7153" w:rsidP="00FA7153">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b/>
          <w:bCs/>
          <w:color w:val="5C626B"/>
          <w:sz w:val="28"/>
          <w:szCs w:val="28"/>
          <w:lang w:eastAsia="tr-TR"/>
        </w:rPr>
        <w:t>a) Tanım;</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2010/4 sayılı genelgede birleştirme (tevhit); “Birbirine bitişik birden çok parselin bir parsel haline dönüştürülmesini” ifade eder, şeklinde tanımlanmıştır.</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 xml:space="preserve">Birleştirme işlemini teknik ifadelerle tanımlamak gerekirse; </w:t>
      </w:r>
      <w:proofErr w:type="gramStart"/>
      <w:r w:rsidRPr="00FA7153">
        <w:rPr>
          <w:rFonts w:ascii="Times New Roman" w:eastAsia="Times New Roman" w:hAnsi="Times New Roman" w:cs="Times New Roman"/>
          <w:color w:val="5C626B"/>
          <w:sz w:val="28"/>
          <w:szCs w:val="28"/>
          <w:lang w:eastAsia="tr-TR"/>
        </w:rPr>
        <w:t>.....</w:t>
      </w:r>
      <w:proofErr w:type="gramEnd"/>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Birleştirme (Tevhit); Tapu kütüğünün ayrı, ayrı sayfalarında kayıtlı, birbirine bitişik, iki ya da daha fazla parselin, ilgilisinin talebi üzerine İmar Yasasının 15 ve 16’ncı maddeleri gereğince tek bir parsel numarası altında birleştirilerek, kütüğün ayrı bir sayfasına tescili ile tek bir tapuya bağlanması işlemidir.</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Yapılan birleştirme işleminin imar mevzuatına uygunluğu onaylattırılır. (Onay mercii; işleme konu parseller belediye ve mücavir alan sınırları içinde ise belediye encümeni; mücavir alan dışında ise il özel idaresidir.)</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2010/4 sayılı genelge birleştirmeyi; talebe bağlı olarak yapılacak işlemlerden olarak belirlenmiştir. Lisanslı büroların kurulduğu yerlerde birleştirme için ilk başvuru bu büroya (bürolardan birine) yapılır. Eğer Lisanslı büro kurulmamışsa başvuru kadastro müdürlüğüne yapılır.</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 Birleştirme işlemi; teknik yönü olması nedeniyle kadastro müdürlüklerini; tescili gerektirmesi nedeniyle de tapu müdürlüklerini ilgilendirmektedir.</w:t>
      </w:r>
    </w:p>
    <w:p w:rsidR="00FA7153" w:rsidRPr="00FA7153" w:rsidRDefault="00FA7153" w:rsidP="00FA7153">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b/>
          <w:bCs/>
          <w:color w:val="5C626B"/>
          <w:sz w:val="28"/>
          <w:szCs w:val="28"/>
          <w:lang w:eastAsia="tr-TR"/>
        </w:rPr>
        <w:t>b) Başvuruda bulunacak belgeler;</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Talebe bağlı işlemlerle ilgili en son düzenlemeyi içeren 2010/4 sayılı genelgenin 7’nci maddesi şu şekildedir;</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Yapılacak işlemin türüne bakılmaksızın aşağıda belirtilen bilgi ve belgelerin istenilmesi zorunludur. Kimlik belgelerinde T.C. kimlik numarasının bulunması zorunludur.</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Talebin gerçek veya tüzel kişilerce yapılması halinde;</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1.1. Taşınmaz malın güncel tapu senedi veya tapu kayıt örneği.</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1.2. Taşınmaz mal malikinin kimliği ya da vekilinin vekâletname örneği ve kimliği.</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1.2.1 – Taşınmaz mal malikinin temsilcisi vasi veya kayyım ise mahkeme kararı ve kimliği, veli ise aile nüfus kayıt örneği ve kimliği.</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lastRenderedPageBreak/>
        <w:t>1.2.2 – Talep sahibi şirket, vakıf, dernek veya kooperatif temsilcisi ise, işin yapılması için yetki verildiğini açıkça belirten yetki belgesi ve imza sirküleri ile temsilcinin kimliği.</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1.2.3 – Taşınmaz malın sahibi ölmüş ise talepte bulunanların mirasçı olduklarını gösterir veraset belgesi veya vukuatlı nüfus kayıt örneği ve kimliği.</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Ancak, cins değişikliği, irtifak hakkı ve birleştirme işlemlerinde, mirasçıların ilgili tapu müdürlüğünden kendi adlarına intikal işlemini yaptırmış olmaları gerekir.</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 xml:space="preserve">(2) </w:t>
      </w:r>
      <w:proofErr w:type="spellStart"/>
      <w:r w:rsidRPr="00FA7153">
        <w:rPr>
          <w:rFonts w:ascii="Times New Roman" w:eastAsia="Times New Roman" w:hAnsi="Times New Roman" w:cs="Times New Roman"/>
          <w:color w:val="5C626B"/>
          <w:sz w:val="28"/>
          <w:szCs w:val="28"/>
          <w:lang w:eastAsia="tr-TR"/>
        </w:rPr>
        <w:t>TAKBİS’e</w:t>
      </w:r>
      <w:proofErr w:type="spellEnd"/>
      <w:r w:rsidRPr="00FA7153">
        <w:rPr>
          <w:rFonts w:ascii="Times New Roman" w:eastAsia="Times New Roman" w:hAnsi="Times New Roman" w:cs="Times New Roman"/>
          <w:color w:val="5C626B"/>
          <w:sz w:val="28"/>
          <w:szCs w:val="28"/>
          <w:lang w:eastAsia="tr-TR"/>
        </w:rPr>
        <w:t xml:space="preserve"> bağlı olan ve ilgili tapu müdürlüğündeki tapu kayıt bilgilerine ulaşılabilen kadastro müdürlüklerinde tapu senedi veya tapu kaydı istenmez. Tapu senedi veya tapu kayıt örneği kadastro müdürlüğünce TAKBİS’ de sorgulanarak kontrol edilir.</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 xml:space="preserve">(3) Talebe bağlı işlemlerde, her talebe ait malikin T.C. kimlik numarası ile taşınmazın ili, ilçesi, mahallesi/köyü, ada ve parsel numarasına ait bilgilerinin bulunduğu çizelge doldurularak </w:t>
      </w:r>
      <w:proofErr w:type="spellStart"/>
      <w:r w:rsidRPr="00FA7153">
        <w:rPr>
          <w:rFonts w:ascii="Times New Roman" w:eastAsia="Times New Roman" w:hAnsi="Times New Roman" w:cs="Times New Roman"/>
          <w:color w:val="5C626B"/>
          <w:sz w:val="28"/>
          <w:szCs w:val="28"/>
          <w:lang w:eastAsia="tr-TR"/>
        </w:rPr>
        <w:t>TAKBİS’e</w:t>
      </w:r>
      <w:proofErr w:type="spellEnd"/>
      <w:r w:rsidRPr="00FA7153">
        <w:rPr>
          <w:rFonts w:ascii="Times New Roman" w:eastAsia="Times New Roman" w:hAnsi="Times New Roman" w:cs="Times New Roman"/>
          <w:color w:val="5C626B"/>
          <w:sz w:val="28"/>
          <w:szCs w:val="28"/>
          <w:lang w:eastAsia="tr-TR"/>
        </w:rPr>
        <w:t xml:space="preserve"> kaydedilmek üzere her ayın sonunda ilgili tapu müdürlüğüne gönderilir.</w:t>
      </w:r>
    </w:p>
    <w:p w:rsidR="00FA7153" w:rsidRPr="00FA7153" w:rsidRDefault="00FA7153" w:rsidP="00FA7153">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b/>
          <w:bCs/>
          <w:color w:val="5C626B"/>
          <w:sz w:val="28"/>
          <w:szCs w:val="28"/>
          <w:lang w:eastAsia="tr-TR"/>
        </w:rPr>
        <w:t>c) İzlenecek Yol; </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Lisanslı Büro ve Kadastro Müdürlüğünce;</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 xml:space="preserve">Birleştirme (tevhit) işleminde izlenecek yol Tapu ve Kadastro Genel Müdürlüğü tarafından hazırlanmış olan 2011 tarihli “KADASTRO İŞLEMLERİ </w:t>
      </w:r>
      <w:proofErr w:type="spellStart"/>
      <w:r w:rsidRPr="00FA7153">
        <w:rPr>
          <w:rFonts w:ascii="Times New Roman" w:eastAsia="Times New Roman" w:hAnsi="Times New Roman" w:cs="Times New Roman"/>
          <w:color w:val="5C626B"/>
          <w:sz w:val="28"/>
          <w:szCs w:val="28"/>
          <w:lang w:eastAsia="tr-TR"/>
        </w:rPr>
        <w:t>REHBERİ”nde</w:t>
      </w:r>
      <w:proofErr w:type="spellEnd"/>
      <w:r w:rsidRPr="00FA7153">
        <w:rPr>
          <w:rFonts w:ascii="Times New Roman" w:eastAsia="Times New Roman" w:hAnsi="Times New Roman" w:cs="Times New Roman"/>
          <w:color w:val="5C626B"/>
          <w:sz w:val="28"/>
          <w:szCs w:val="28"/>
          <w:lang w:eastAsia="tr-TR"/>
        </w:rPr>
        <w:t xml:space="preserve"> şu şekilde yer almıştır;</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proofErr w:type="gramStart"/>
      <w:r w:rsidRPr="00FA7153">
        <w:rPr>
          <w:rFonts w:ascii="Times New Roman" w:eastAsia="Times New Roman" w:hAnsi="Times New Roman" w:cs="Times New Roman"/>
          <w:color w:val="5C626B"/>
          <w:sz w:val="28"/>
          <w:szCs w:val="28"/>
          <w:lang w:eastAsia="tr-TR"/>
        </w:rPr>
        <w:t>(</w:t>
      </w:r>
      <w:proofErr w:type="gramEnd"/>
      <w:r w:rsidRPr="00FA7153">
        <w:rPr>
          <w:rFonts w:ascii="Times New Roman" w:eastAsia="Times New Roman" w:hAnsi="Times New Roman" w:cs="Times New Roman"/>
          <w:color w:val="5C626B"/>
          <w:sz w:val="28"/>
          <w:szCs w:val="28"/>
          <w:lang w:eastAsia="tr-TR"/>
        </w:rPr>
        <w:t>Bu Rehberde, işlemlerin kadastro müdürlüğü tarafından karşılanması halinde izlenecek yol yer almaktadır. Lisanlı büro tarafından karşılanacak işlemler için gerekli ilaveler site yönetimi tarafından yapılmıştır.</w:t>
      </w:r>
      <w:proofErr w:type="gramStart"/>
      <w:r w:rsidRPr="00FA7153">
        <w:rPr>
          <w:rFonts w:ascii="Times New Roman" w:eastAsia="Times New Roman" w:hAnsi="Times New Roman" w:cs="Times New Roman"/>
          <w:color w:val="5C626B"/>
          <w:sz w:val="28"/>
          <w:szCs w:val="28"/>
          <w:lang w:eastAsia="tr-TR"/>
        </w:rPr>
        <w:t>)</w:t>
      </w:r>
      <w:proofErr w:type="gramEnd"/>
      <w:r w:rsidRPr="00FA7153">
        <w:rPr>
          <w:rFonts w:ascii="Times New Roman" w:eastAsia="Times New Roman" w:hAnsi="Times New Roman" w:cs="Times New Roman"/>
          <w:color w:val="5C626B"/>
          <w:sz w:val="28"/>
          <w:szCs w:val="28"/>
          <w:lang w:eastAsia="tr-TR"/>
        </w:rPr>
        <w:t xml:space="preserve">  </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 xml:space="preserve">1) Taşınmaz malın maliki veya hissedarlardan biri tarafında; yukarıda belirtilen belgeler ile birlikte bizzat ve yasal temsilcisi aracılığı </w:t>
      </w:r>
      <w:proofErr w:type="gramStart"/>
      <w:r w:rsidRPr="00FA7153">
        <w:rPr>
          <w:rFonts w:ascii="Times New Roman" w:eastAsia="Times New Roman" w:hAnsi="Times New Roman" w:cs="Times New Roman"/>
          <w:color w:val="5C626B"/>
          <w:sz w:val="28"/>
          <w:szCs w:val="28"/>
          <w:lang w:eastAsia="tr-TR"/>
        </w:rPr>
        <w:t>ile;</w:t>
      </w:r>
      <w:proofErr w:type="gramEnd"/>
      <w:r w:rsidRPr="00FA7153">
        <w:rPr>
          <w:rFonts w:ascii="Times New Roman" w:eastAsia="Times New Roman" w:hAnsi="Times New Roman" w:cs="Times New Roman"/>
          <w:color w:val="5C626B"/>
          <w:sz w:val="28"/>
          <w:szCs w:val="28"/>
          <w:lang w:eastAsia="tr-TR"/>
        </w:rPr>
        <w:t xml:space="preserve"> lisanslı büroların kurulduğu yerlerde bu büroya ya da bürolardan birine; lisanslı büroların kurulmadığı yerlerde ise kadastro müdürlüğüne talepte bulunulur. (Kamu Kurum ve Kuruluşlarının talepleri resmi yazı ile yapılır.)</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2. a) Talep lisanslı büro tarafından karşılanıyorsa;</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 Lisanslı mühendis ya da görevlendireceği personel tarafından, gelen talep değerlendirilir… Talebin uygunluğunun anlaşılması halinde; talep “Kadastro Teknik Hizmetleri Kayıt Defteri”ne kaydedilerek işleme fen kayıt numarası verilir. “TİP SÖZLEŞME” düzenlenerek lisanslı büro yetkilisi ve talep sahibi tarafından karşılıklı imzalanır. (Sözleşmenin aslı büroda arşivlenir.)</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lastRenderedPageBreak/>
        <w:t>– O yıl için belirlenmiş olan “hizmet bedeli” tahsil edilir.</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 Birleştirme için gerekli teknik belgeler kadastro müdürlüğünden temin edilir.</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2. b) Talep kadastro müdürlüğü tarafından karşılanıyorsa;</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 Kadastro müdürü ya da ya da görevlendireceği personel tarafından, gelen talep değerlendirilir. Talebin uygunluğunun anlaşılması halinde;</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 Döner sermayesi tahakkuk edilip, tahsili sağlanır.</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 Talep için “istem belgesi” düzenlenip, “Tapu Fen İşleri Kayıt Defteri”ne kaydı yapılır.</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3) Lisanslı büro ya da kadastro müdürlüğü tarafından; talebin karşılanacağı gün ve saat ilgili idareye / talep sahibine bildirilir.</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4) İmar parsellerinde yapılacak olan birleştirme işleminde; parselin bulunduğu imar adasının ilgili idareden onaylı ölçü krokisi kontrol edilerek doğruluğu halinde kullanılır. Onaylı ölçü krokisinin bulunmaması halinde ise, öncelikle gerekli büro ve arazi çalışması yapılarak adanın ölçü krokisi hazırlanır. Ölçü krokisi, krokiyi hazırlayanlar ve kontrol edenler tarafından imzalanarak onaylandıktan sonra işlemler yapılır.</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5) Birleştirme işlemlerinde herhangi bir kontrol ve ölçü zorunlu olmadıkça araziye gidilmez.</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6) Gerekli inceleme ve ön hazırlıklar yapılır.</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 xml:space="preserve">7) Birleştirme işlemine tabi parsellerin pafta </w:t>
      </w:r>
      <w:proofErr w:type="spellStart"/>
      <w:r w:rsidRPr="00FA7153">
        <w:rPr>
          <w:rFonts w:ascii="Times New Roman" w:eastAsia="Times New Roman" w:hAnsi="Times New Roman" w:cs="Times New Roman"/>
          <w:color w:val="5C626B"/>
          <w:sz w:val="28"/>
          <w:szCs w:val="28"/>
          <w:lang w:eastAsia="tr-TR"/>
        </w:rPr>
        <w:t>tersimatı</w:t>
      </w:r>
      <w:proofErr w:type="spellEnd"/>
      <w:r w:rsidRPr="00FA7153">
        <w:rPr>
          <w:rFonts w:ascii="Times New Roman" w:eastAsia="Times New Roman" w:hAnsi="Times New Roman" w:cs="Times New Roman"/>
          <w:color w:val="5C626B"/>
          <w:sz w:val="28"/>
          <w:szCs w:val="28"/>
          <w:lang w:eastAsia="tr-TR"/>
        </w:rPr>
        <w:t xml:space="preserve"> ve yüzölçümü kontrol edilir. Hata bulunması halinde ilgili mevzuatı gereğince düzeltildikten sonra işleme alınır. (İşleme tabi parsellerin tümü aynı malik ya da maliklere ait ise düzeltme, işlem sonrası oluşan ana parsel üzerinde de yapılabilir.)</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8) Kontrolden sonra birleştirme işlemi için düzenlenen iki nüsha değişiklik tasarımı 3194 sayılı İmar Yasası ve Yönetmeliklerine uygunluğunun onayı için taşınmaz malların bulunduğu yere göre; belediye ve mücavir alan sınırları içinde belediye encümeninin; dışında ise il encümeninin kararı alınmak üzere belediye veya valiliğe, bir üst yazıyla gönderilir.</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 xml:space="preserve">9) Belediye veya valilikten olumlu karar geldikten sonra, kararın tarih ve </w:t>
      </w:r>
      <w:proofErr w:type="spellStart"/>
      <w:r w:rsidRPr="00FA7153">
        <w:rPr>
          <w:rFonts w:ascii="Times New Roman" w:eastAsia="Times New Roman" w:hAnsi="Times New Roman" w:cs="Times New Roman"/>
          <w:color w:val="5C626B"/>
          <w:sz w:val="28"/>
          <w:szCs w:val="28"/>
          <w:lang w:eastAsia="tr-TR"/>
        </w:rPr>
        <w:t>no’su</w:t>
      </w:r>
      <w:proofErr w:type="spellEnd"/>
      <w:r w:rsidRPr="00FA7153">
        <w:rPr>
          <w:rFonts w:ascii="Times New Roman" w:eastAsia="Times New Roman" w:hAnsi="Times New Roman" w:cs="Times New Roman"/>
          <w:color w:val="5C626B"/>
          <w:sz w:val="28"/>
          <w:szCs w:val="28"/>
          <w:lang w:eastAsia="tr-TR"/>
        </w:rPr>
        <w:t xml:space="preserve"> tescil bildiriminde belirtilmek suretiyle; kadastro gören yerlerde, biri asıl diğerleri aslı niteliğinde olmak üzere üç nüsha; kadastro görmemiş yerlerde ise biri asıl diğeri aslı niteliğinde olmak üzere iki nüsha tescil bildirimi düzenlenir.</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 xml:space="preserve">10) Tescil bildirimleri, isteklerine uygun olarak düzenlendiğine dair ilgilileri tarafından imzalanır. Kadastro müdürlüğünün kontrol ve onayını müteakip tescil </w:t>
      </w:r>
      <w:r w:rsidRPr="00FA7153">
        <w:rPr>
          <w:rFonts w:ascii="Times New Roman" w:eastAsia="Times New Roman" w:hAnsi="Times New Roman" w:cs="Times New Roman"/>
          <w:color w:val="5C626B"/>
          <w:sz w:val="28"/>
          <w:szCs w:val="28"/>
          <w:lang w:eastAsia="tr-TR"/>
        </w:rPr>
        <w:lastRenderedPageBreak/>
        <w:t>bildirimleri ve ekleri tescil için bir üst yazı ile tapu müdürlüğüne gönderilir. Tescil işlemi tamamlandıktan sonra tescil bildirimi ve eklerinin aslı tapu müdürlüğünde kalır. Diğer nüshalar tescili takip eden on gün içinde bir üst yazı ile kadastro müdürlüğüne gönderilir.</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11) Tescilden sonra değişiklik, parsellerin fen klasörü ve paftasına işlenir.</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12) İşlem kadastro müdürlüğü tarafından yapılmışsa; işleme ait belgeler 2010/20 sayılı genelgenin 16’ncı madde 2’nci fıkrasında belirtildiği şekilde arşivlenir.</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İşlem lisanslı büro tarafından yapılıyorsa Lisanslı Harita Kadastro Mühendisleri Büroları hakkındaki Yönetmelik madde:42 ve 2010/13 sayılı genelgenin 51’inci maddesi gereğince arşivlenir.</w:t>
      </w:r>
    </w:p>
    <w:p w:rsidR="00FA7153" w:rsidRPr="00FA7153" w:rsidRDefault="00FA7153" w:rsidP="00FA7153">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Tapu Müdürlüğünce de;</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Akitsiz işlemler için olan istem belgesi düzenlenir.</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İşleme tabi parsellerin kütük sayfaları kapatılır ve oluşan parsel, yeni bir parsel numarası ile tapu kütüğünde müstakil ilk sayfasına kaydedilir.</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 xml:space="preserve">Tescil sonrası, “tescil </w:t>
      </w:r>
      <w:proofErr w:type="spellStart"/>
      <w:r w:rsidRPr="00FA7153">
        <w:rPr>
          <w:rFonts w:ascii="Times New Roman" w:eastAsia="Times New Roman" w:hAnsi="Times New Roman" w:cs="Times New Roman"/>
          <w:color w:val="5C626B"/>
          <w:sz w:val="28"/>
          <w:szCs w:val="28"/>
          <w:lang w:eastAsia="tr-TR"/>
        </w:rPr>
        <w:t>bildirimi”ne</w:t>
      </w:r>
      <w:proofErr w:type="spellEnd"/>
      <w:r w:rsidRPr="00FA7153">
        <w:rPr>
          <w:rFonts w:ascii="Times New Roman" w:eastAsia="Times New Roman" w:hAnsi="Times New Roman" w:cs="Times New Roman"/>
          <w:color w:val="5C626B"/>
          <w:sz w:val="28"/>
          <w:szCs w:val="28"/>
          <w:lang w:eastAsia="tr-TR"/>
        </w:rPr>
        <w:t xml:space="preserve"> tescil tarihi ve yevmiye numarası yazılarak tapu müdürlüğünce tasdik edilir. İşlem dosyasının aslı tapu müdürlüğünde alıkonurken diğer nüshalar kadastro müdürlüğüne geri gönderilir. </w:t>
      </w:r>
      <w:hyperlink r:id="rId4" w:tgtFrame="_blank" w:tooltip="BİRLEŞTİRME (TEVHİT) İSTEMİ" w:history="1">
        <w:r w:rsidRPr="00FA7153">
          <w:rPr>
            <w:rFonts w:ascii="Times New Roman" w:eastAsia="Times New Roman" w:hAnsi="Times New Roman" w:cs="Times New Roman"/>
            <w:color w:val="52B8DF"/>
            <w:sz w:val="28"/>
            <w:szCs w:val="28"/>
            <w:lang w:eastAsia="tr-TR"/>
          </w:rPr>
          <w:t>(Tescil Yönünün ayrıntısı için bkz. "Tapu İşlemleri" / “Akitsiz Tapu İşlemleri”)</w:t>
        </w:r>
      </w:hyperlink>
    </w:p>
    <w:p w:rsidR="00FA7153" w:rsidRPr="00FA7153" w:rsidRDefault="00FA7153" w:rsidP="00FA7153">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b/>
          <w:bCs/>
          <w:color w:val="5C626B"/>
          <w:sz w:val="28"/>
          <w:szCs w:val="28"/>
          <w:lang w:eastAsia="tr-TR"/>
        </w:rPr>
        <w:t>d) İşlemin Mali Yönü; </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 xml:space="preserve">İşlem Lisanslı büro tarafından yapılıyorsa; o yıl </w:t>
      </w:r>
      <w:proofErr w:type="spellStart"/>
      <w:r w:rsidRPr="00FA7153">
        <w:rPr>
          <w:rFonts w:ascii="Times New Roman" w:eastAsia="Times New Roman" w:hAnsi="Times New Roman" w:cs="Times New Roman"/>
          <w:color w:val="5C626B"/>
          <w:sz w:val="28"/>
          <w:szCs w:val="28"/>
          <w:lang w:eastAsia="tr-TR"/>
        </w:rPr>
        <w:t>çin</w:t>
      </w:r>
      <w:proofErr w:type="spellEnd"/>
      <w:r w:rsidRPr="00FA7153">
        <w:rPr>
          <w:rFonts w:ascii="Times New Roman" w:eastAsia="Times New Roman" w:hAnsi="Times New Roman" w:cs="Times New Roman"/>
          <w:color w:val="5C626B"/>
          <w:sz w:val="28"/>
          <w:szCs w:val="28"/>
          <w:lang w:eastAsia="tr-TR"/>
        </w:rPr>
        <w:t xml:space="preserve"> belirlenmiş olan “hizmet bedeli” tahsil edilir.</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İşlem kadastro müdürlüğü tarafından yapılıyorsa; birleştirme için, işlem tarihinde uygulanmakta olan döner sermaye hizmet bedeli ilgilisi tarafından bankaya yatırıldıktan sonra talep alınır. Bu bedelin ödenmemesi halinde işlemler kayıt altına alınmaz.</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Taşınmazın bulunduğu yer haricindeki, kadastro müdürlüklerine talepte bulunulması durumunda; talepte bulunulan kadastro müdürlüğü tarafından döner sermaye ücreti tahsil edilir.</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 Döner Sermaye hizmet bedeli alınmaması gerekli taleplerde; İstem belgesinin "tutarı" bölümüne taşınmaz malın cinsi yazılır (okul yeri, hükümet binası vb.).</w:t>
      </w:r>
    </w:p>
    <w:p w:rsidR="00FA7153" w:rsidRPr="00FA7153" w:rsidRDefault="00FA7153" w:rsidP="00FA7153">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 </w:t>
      </w:r>
    </w:p>
    <w:p w:rsidR="00FA7153" w:rsidRPr="00FA7153" w:rsidRDefault="00FA7153" w:rsidP="00FA7153">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FF0000"/>
          <w:sz w:val="28"/>
          <w:szCs w:val="28"/>
          <w:lang w:eastAsia="tr-TR"/>
        </w:rPr>
        <w:t>*   *   *</w:t>
      </w:r>
    </w:p>
    <w:p w:rsidR="00FA7153" w:rsidRPr="00FA7153" w:rsidRDefault="00FA7153" w:rsidP="00FA7153">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b/>
          <w:bCs/>
          <w:color w:val="5C626B"/>
          <w:sz w:val="28"/>
          <w:szCs w:val="28"/>
          <w:lang w:eastAsia="tr-TR"/>
        </w:rPr>
        <w:t>NOT:</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lastRenderedPageBreak/>
        <w:t>* Birleştirme işlemine tabi parsellerin aynı malike ait olması şart değildir. (Tapu Sicil Tüzüğü md:75).</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 Birleştirme işleminin yapılabilmesi için, işleme konu parsellerin birbirine sınır olması gerekir. Birbirine sınır olmayan parsellerin birleştirmesi söz konusu değildir.</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 xml:space="preserve">* Ayrık yapı nizamına tabi olup, imar plânı ile farklı yükseklik veya kullanım kararları getirilmiş imar parselleri </w:t>
      </w:r>
      <w:proofErr w:type="spellStart"/>
      <w:r w:rsidRPr="00FA7153">
        <w:rPr>
          <w:rFonts w:ascii="Times New Roman" w:eastAsia="Times New Roman" w:hAnsi="Times New Roman" w:cs="Times New Roman"/>
          <w:color w:val="5C626B"/>
          <w:sz w:val="28"/>
          <w:szCs w:val="28"/>
          <w:lang w:eastAsia="tr-TR"/>
        </w:rPr>
        <w:t>tevhid</w:t>
      </w:r>
      <w:proofErr w:type="spellEnd"/>
      <w:r w:rsidRPr="00FA7153">
        <w:rPr>
          <w:rFonts w:ascii="Times New Roman" w:eastAsia="Times New Roman" w:hAnsi="Times New Roman" w:cs="Times New Roman"/>
          <w:color w:val="5C626B"/>
          <w:sz w:val="28"/>
          <w:szCs w:val="28"/>
          <w:lang w:eastAsia="tr-TR"/>
        </w:rPr>
        <w:t xml:space="preserve"> edilemez. Aralarında 3.00 m ve daha fazla kot farkı bulunan imar parselleri </w:t>
      </w:r>
      <w:proofErr w:type="spellStart"/>
      <w:r w:rsidRPr="00FA7153">
        <w:rPr>
          <w:rFonts w:ascii="Times New Roman" w:eastAsia="Times New Roman" w:hAnsi="Times New Roman" w:cs="Times New Roman"/>
          <w:color w:val="5C626B"/>
          <w:sz w:val="28"/>
          <w:szCs w:val="28"/>
          <w:lang w:eastAsia="tr-TR"/>
        </w:rPr>
        <w:t>tevhid</w:t>
      </w:r>
      <w:proofErr w:type="spellEnd"/>
      <w:r w:rsidRPr="00FA7153">
        <w:rPr>
          <w:rFonts w:ascii="Times New Roman" w:eastAsia="Times New Roman" w:hAnsi="Times New Roman" w:cs="Times New Roman"/>
          <w:color w:val="5C626B"/>
          <w:sz w:val="28"/>
          <w:szCs w:val="28"/>
          <w:lang w:eastAsia="tr-TR"/>
        </w:rPr>
        <w:t xml:space="preserve"> edilemez. (Plânlı Alanlar Tip İmar Yönetmeliğinde md: 19/4).</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 Hisseli taşınmaz mallara ilişkin birleştirme istemlerinde tescil işlemi yerine getirilirken bütün hissedarların ya da yasal temsilcilerinin tescil bildiriminde imzalarının bulunması gerekir, ancak mahkeme kararı, kamulaştırma ve kesinleşmiş imar plânları gibi maliklerin iradeleri dışında yapılan işlemler, ilgililerin talepleri aranılmadan yerine getirilir.</w:t>
      </w:r>
    </w:p>
    <w:p w:rsidR="00FA7153" w:rsidRPr="00FA7153" w:rsidRDefault="00FA7153" w:rsidP="00FA7153">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 Taşınmazın maliki ölmüş ise talepte bulunan mirasçıların, ilgili tapu müdürlüğünden kendi adlarına intikal işlemini yaptırmış olmaları ya da mirasçı olduklarına dair veraset belgesini almış olmaları gerekir. Aksi takdirde – ölü adına kayıtlı taşınmazlar hakkında – birleştirme talebi karşılanmaz.</w:t>
      </w:r>
    </w:p>
    <w:p w:rsidR="00FA7153" w:rsidRPr="00FA7153" w:rsidRDefault="00FA7153" w:rsidP="00FA7153">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 *   *   *</w:t>
      </w:r>
    </w:p>
    <w:p w:rsidR="00FA7153" w:rsidRDefault="00FA7153" w:rsidP="00FA7153">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 </w:t>
      </w:r>
      <w:r w:rsidRPr="00FA7153">
        <w:rPr>
          <w:rFonts w:ascii="Times New Roman" w:eastAsia="Times New Roman" w:hAnsi="Times New Roman" w:cs="Times New Roman"/>
          <w:b/>
          <w:bCs/>
          <w:color w:val="5C626B"/>
          <w:sz w:val="28"/>
          <w:szCs w:val="28"/>
          <w:lang w:eastAsia="tr-TR"/>
        </w:rPr>
        <w:t>Kimlik:</w:t>
      </w:r>
      <w:r w:rsidRPr="00FA7153">
        <w:rPr>
          <w:rFonts w:ascii="Times New Roman" w:eastAsia="Times New Roman" w:hAnsi="Times New Roman" w:cs="Times New Roman"/>
          <w:color w:val="5C626B"/>
          <w:sz w:val="28"/>
          <w:szCs w:val="28"/>
          <w:lang w:eastAsia="tr-TR"/>
        </w:rPr>
        <w:t> Tapu Sicil Tüzüğünün 13/2 inci maddesinde, istemde bulunacak hak sahibinin gerçek kişi olması halinde kimlik olarak istenecek belgeleri, nüfus cüzdanı veya pasaport olarak belirlemiştir.</w:t>
      </w:r>
    </w:p>
    <w:p w:rsidR="00FA7153" w:rsidRDefault="00FA7153" w:rsidP="00FA7153">
      <w:pPr>
        <w:shd w:val="clear" w:color="auto" w:fill="FFFFFF"/>
        <w:spacing w:after="0" w:line="240" w:lineRule="auto"/>
        <w:jc w:val="both"/>
        <w:rPr>
          <w:rFonts w:ascii="Times New Roman" w:eastAsia="Times New Roman" w:hAnsi="Times New Roman" w:cs="Times New Roman"/>
          <w:color w:val="5C626B"/>
          <w:sz w:val="28"/>
          <w:szCs w:val="28"/>
          <w:lang w:eastAsia="tr-TR"/>
        </w:rPr>
      </w:pPr>
    </w:p>
    <w:p w:rsidR="00FA7153" w:rsidRDefault="00FA7153" w:rsidP="00FA7153">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 </w:t>
      </w:r>
      <w:r w:rsidRPr="00FA7153">
        <w:rPr>
          <w:rFonts w:ascii="Times New Roman" w:eastAsia="Times New Roman" w:hAnsi="Times New Roman" w:cs="Times New Roman"/>
          <w:b/>
          <w:bCs/>
          <w:color w:val="5C626B"/>
          <w:sz w:val="28"/>
          <w:szCs w:val="28"/>
          <w:lang w:eastAsia="tr-TR"/>
        </w:rPr>
        <w:t>Vasi:</w:t>
      </w:r>
      <w:r w:rsidRPr="00FA7153">
        <w:rPr>
          <w:rFonts w:ascii="Times New Roman" w:eastAsia="Times New Roman" w:hAnsi="Times New Roman" w:cs="Times New Roman"/>
          <w:color w:val="5C626B"/>
          <w:sz w:val="28"/>
          <w:szCs w:val="28"/>
          <w:lang w:eastAsia="tr-TR"/>
        </w:rPr>
        <w:t> Akıl hastalığı, akıl zayıflığı, israf, ayyaşlık, kötü hal, kötü idare, hapis, ihtiyarlık, sakatlık, tecrübesizlik gibi hallerde, kısıtlının işlemini idare etmek ve vesayet kaldırılıncaya kadar onu temsil etmek üzere mahkemece tayin edilen yasal temsilcidir.</w:t>
      </w:r>
    </w:p>
    <w:p w:rsidR="00FA7153" w:rsidRDefault="00FA7153" w:rsidP="00FA7153">
      <w:pPr>
        <w:shd w:val="clear" w:color="auto" w:fill="FFFFFF"/>
        <w:spacing w:after="0" w:line="240" w:lineRule="auto"/>
        <w:jc w:val="both"/>
        <w:rPr>
          <w:rFonts w:ascii="Times New Roman" w:eastAsia="Times New Roman" w:hAnsi="Times New Roman" w:cs="Times New Roman"/>
          <w:color w:val="5C626B"/>
          <w:sz w:val="28"/>
          <w:szCs w:val="28"/>
          <w:lang w:eastAsia="tr-TR"/>
        </w:rPr>
      </w:pPr>
    </w:p>
    <w:p w:rsidR="00FA7153" w:rsidRDefault="00FA7153" w:rsidP="00FA7153">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 </w:t>
      </w:r>
      <w:r w:rsidRPr="00FA7153">
        <w:rPr>
          <w:rFonts w:ascii="Times New Roman" w:eastAsia="Times New Roman" w:hAnsi="Times New Roman" w:cs="Times New Roman"/>
          <w:b/>
          <w:bCs/>
          <w:color w:val="5C626B"/>
          <w:sz w:val="28"/>
          <w:szCs w:val="28"/>
          <w:lang w:eastAsia="tr-TR"/>
        </w:rPr>
        <w:t>Kayyım:</w:t>
      </w:r>
      <w:r w:rsidRPr="00FA7153">
        <w:rPr>
          <w:rFonts w:ascii="Times New Roman" w:eastAsia="Times New Roman" w:hAnsi="Times New Roman" w:cs="Times New Roman"/>
          <w:color w:val="5C626B"/>
          <w:sz w:val="28"/>
          <w:szCs w:val="28"/>
          <w:lang w:eastAsia="tr-TR"/>
        </w:rPr>
        <w:t> Küçük veya temyiz kudreti olmayana, belli bir işin yapılması için mahkemece tayin edilen yasal temsilcidir.</w:t>
      </w:r>
    </w:p>
    <w:p w:rsidR="00FA7153" w:rsidRDefault="00FA7153" w:rsidP="00FA7153">
      <w:pPr>
        <w:shd w:val="clear" w:color="auto" w:fill="FFFFFF"/>
        <w:spacing w:after="0" w:line="240" w:lineRule="auto"/>
        <w:jc w:val="both"/>
        <w:rPr>
          <w:rFonts w:ascii="Times New Roman" w:eastAsia="Times New Roman" w:hAnsi="Times New Roman" w:cs="Times New Roman"/>
          <w:color w:val="5C626B"/>
          <w:sz w:val="28"/>
          <w:szCs w:val="28"/>
          <w:lang w:eastAsia="tr-TR"/>
        </w:rPr>
      </w:pPr>
    </w:p>
    <w:p w:rsidR="00FA7153" w:rsidRPr="00FA7153" w:rsidRDefault="00FA7153" w:rsidP="00FA7153">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FA7153">
        <w:rPr>
          <w:rFonts w:ascii="Times New Roman" w:eastAsia="Times New Roman" w:hAnsi="Times New Roman" w:cs="Times New Roman"/>
          <w:color w:val="5C626B"/>
          <w:sz w:val="28"/>
          <w:szCs w:val="28"/>
          <w:lang w:eastAsia="tr-TR"/>
        </w:rPr>
        <w:t>* </w:t>
      </w:r>
      <w:proofErr w:type="gramStart"/>
      <w:r w:rsidRPr="00FA7153">
        <w:rPr>
          <w:rFonts w:ascii="Times New Roman" w:eastAsia="Times New Roman" w:hAnsi="Times New Roman" w:cs="Times New Roman"/>
          <w:b/>
          <w:bCs/>
          <w:color w:val="5C626B"/>
          <w:sz w:val="28"/>
          <w:szCs w:val="28"/>
          <w:lang w:eastAsia="tr-TR"/>
        </w:rPr>
        <w:t>Veli :</w:t>
      </w:r>
      <w:r w:rsidRPr="00FA7153">
        <w:rPr>
          <w:rFonts w:ascii="Times New Roman" w:eastAsia="Times New Roman" w:hAnsi="Times New Roman" w:cs="Times New Roman"/>
          <w:color w:val="5C626B"/>
          <w:sz w:val="28"/>
          <w:szCs w:val="28"/>
          <w:lang w:eastAsia="tr-TR"/>
        </w:rPr>
        <w:t> On</w:t>
      </w:r>
      <w:proofErr w:type="gramEnd"/>
      <w:r w:rsidRPr="00FA7153">
        <w:rPr>
          <w:rFonts w:ascii="Times New Roman" w:eastAsia="Times New Roman" w:hAnsi="Times New Roman" w:cs="Times New Roman"/>
          <w:color w:val="5C626B"/>
          <w:sz w:val="28"/>
          <w:szCs w:val="28"/>
          <w:lang w:eastAsia="tr-TR"/>
        </w:rPr>
        <w:t xml:space="preserve"> dokuz yaşından gün almamış küçüklerin, anne–babalarının idareleri altında olmalarına velayet, anne ve babaya da veli denir. Anne–baba, kural olarak, velayeti beraber kullanır. Birisi ölürse sağ kalan taraf velayet yetkisini tek başına kullanmaya devam eder. Boşanma halinde </w:t>
      </w:r>
      <w:proofErr w:type="gramStart"/>
      <w:r w:rsidRPr="00FA7153">
        <w:rPr>
          <w:rFonts w:ascii="Times New Roman" w:eastAsia="Times New Roman" w:hAnsi="Times New Roman" w:cs="Times New Roman"/>
          <w:color w:val="5C626B"/>
          <w:sz w:val="28"/>
          <w:szCs w:val="28"/>
          <w:lang w:eastAsia="tr-TR"/>
        </w:rPr>
        <w:t>hakim</w:t>
      </w:r>
      <w:proofErr w:type="gramEnd"/>
      <w:r w:rsidRPr="00FA7153">
        <w:rPr>
          <w:rFonts w:ascii="Times New Roman" w:eastAsia="Times New Roman" w:hAnsi="Times New Roman" w:cs="Times New Roman"/>
          <w:color w:val="5C626B"/>
          <w:sz w:val="28"/>
          <w:szCs w:val="28"/>
          <w:lang w:eastAsia="tr-TR"/>
        </w:rPr>
        <w:t xml:space="preserve"> velayeti kime bıraktığını kararında açıklar.</w:t>
      </w:r>
    </w:p>
    <w:p w:rsidR="00330C8C" w:rsidRPr="00FA7153" w:rsidRDefault="00330C8C" w:rsidP="00FA7153">
      <w:pPr>
        <w:jc w:val="both"/>
        <w:rPr>
          <w:rFonts w:ascii="Times New Roman" w:hAnsi="Times New Roman" w:cs="Times New Roman"/>
          <w:sz w:val="28"/>
          <w:szCs w:val="28"/>
        </w:rPr>
      </w:pPr>
    </w:p>
    <w:sectPr w:rsidR="00330C8C" w:rsidRPr="00FA7153" w:rsidSect="00330C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FA7153"/>
    <w:rsid w:val="00330C8C"/>
    <w:rsid w:val="00FA71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8C"/>
  </w:style>
  <w:style w:type="paragraph" w:styleId="Balk1">
    <w:name w:val="heading 1"/>
    <w:basedOn w:val="Normal"/>
    <w:link w:val="Balk1Char"/>
    <w:uiPriority w:val="9"/>
    <w:qFormat/>
    <w:rsid w:val="00FA71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A7153"/>
    <w:rPr>
      <w:rFonts w:ascii="Times New Roman" w:eastAsia="Times New Roman" w:hAnsi="Times New Roman" w:cs="Times New Roman"/>
      <w:b/>
      <w:bCs/>
      <w:kern w:val="36"/>
      <w:sz w:val="48"/>
      <w:szCs w:val="48"/>
      <w:lang w:eastAsia="tr-TR"/>
    </w:rPr>
  </w:style>
  <w:style w:type="paragraph" w:customStyle="1" w:styleId="uk-article-meta">
    <w:name w:val="uk-article-meta"/>
    <w:basedOn w:val="Normal"/>
    <w:rsid w:val="00FA71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A7153"/>
    <w:rPr>
      <w:color w:val="0000FF"/>
      <w:u w:val="single"/>
    </w:rPr>
  </w:style>
  <w:style w:type="character" w:styleId="Gl">
    <w:name w:val="Strong"/>
    <w:basedOn w:val="VarsaylanParagrafYazTipi"/>
    <w:uiPriority w:val="22"/>
    <w:qFormat/>
    <w:rsid w:val="00FA7153"/>
    <w:rPr>
      <w:b/>
      <w:bCs/>
    </w:rPr>
  </w:style>
  <w:style w:type="paragraph" w:styleId="NormalWeb">
    <w:name w:val="Normal (Web)"/>
    <w:basedOn w:val="Normal"/>
    <w:uiPriority w:val="99"/>
    <w:semiHidden/>
    <w:unhideWhenUsed/>
    <w:rsid w:val="00FA715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27151605">
      <w:bodyDiv w:val="1"/>
      <w:marLeft w:val="0"/>
      <w:marRight w:val="0"/>
      <w:marTop w:val="0"/>
      <w:marBottom w:val="0"/>
      <w:divBdr>
        <w:top w:val="none" w:sz="0" w:space="0" w:color="auto"/>
        <w:left w:val="none" w:sz="0" w:space="0" w:color="auto"/>
        <w:bottom w:val="none" w:sz="0" w:space="0" w:color="auto"/>
        <w:right w:val="none" w:sz="0" w:space="0" w:color="auto"/>
      </w:divBdr>
      <w:divsChild>
        <w:div w:id="857279516">
          <w:marLeft w:val="0"/>
          <w:marRight w:val="0"/>
          <w:marTop w:val="0"/>
          <w:marBottom w:val="0"/>
          <w:divBdr>
            <w:top w:val="none" w:sz="0" w:space="0" w:color="auto"/>
            <w:left w:val="none" w:sz="0" w:space="0" w:color="auto"/>
            <w:bottom w:val="none" w:sz="0" w:space="0" w:color="auto"/>
            <w:right w:val="none" w:sz="0" w:space="0" w:color="auto"/>
          </w:divBdr>
          <w:divsChild>
            <w:div w:id="1883208552">
              <w:marLeft w:val="0"/>
              <w:marRight w:val="0"/>
              <w:marTop w:val="0"/>
              <w:marBottom w:val="0"/>
              <w:divBdr>
                <w:top w:val="none" w:sz="0" w:space="0" w:color="auto"/>
                <w:left w:val="none" w:sz="0" w:space="0" w:color="auto"/>
                <w:bottom w:val="none" w:sz="0" w:space="0" w:color="auto"/>
                <w:right w:val="none" w:sz="0" w:space="0" w:color="auto"/>
              </w:divBdr>
            </w:div>
            <w:div w:id="54861337">
              <w:marLeft w:val="0"/>
              <w:marRight w:val="0"/>
              <w:marTop w:val="0"/>
              <w:marBottom w:val="0"/>
              <w:divBdr>
                <w:top w:val="none" w:sz="0" w:space="0" w:color="auto"/>
                <w:left w:val="none" w:sz="0" w:space="0" w:color="auto"/>
                <w:bottom w:val="none" w:sz="0" w:space="0" w:color="auto"/>
                <w:right w:val="none" w:sz="0" w:space="0" w:color="auto"/>
              </w:divBdr>
            </w:div>
            <w:div w:id="715394494">
              <w:marLeft w:val="0"/>
              <w:marRight w:val="0"/>
              <w:marTop w:val="0"/>
              <w:marBottom w:val="0"/>
              <w:divBdr>
                <w:top w:val="none" w:sz="0" w:space="0" w:color="auto"/>
                <w:left w:val="none" w:sz="0" w:space="0" w:color="auto"/>
                <w:bottom w:val="none" w:sz="0" w:space="0" w:color="auto"/>
                <w:right w:val="none" w:sz="0" w:space="0" w:color="auto"/>
              </w:divBdr>
            </w:div>
            <w:div w:id="1257128946">
              <w:marLeft w:val="0"/>
              <w:marRight w:val="0"/>
              <w:marTop w:val="0"/>
              <w:marBottom w:val="0"/>
              <w:divBdr>
                <w:top w:val="none" w:sz="0" w:space="0" w:color="auto"/>
                <w:left w:val="none" w:sz="0" w:space="0" w:color="auto"/>
                <w:bottom w:val="none" w:sz="0" w:space="0" w:color="auto"/>
                <w:right w:val="none" w:sz="0" w:space="0" w:color="auto"/>
              </w:divBdr>
            </w:div>
            <w:div w:id="849485911">
              <w:marLeft w:val="0"/>
              <w:marRight w:val="0"/>
              <w:marTop w:val="0"/>
              <w:marBottom w:val="0"/>
              <w:divBdr>
                <w:top w:val="none" w:sz="0" w:space="0" w:color="auto"/>
                <w:left w:val="none" w:sz="0" w:space="0" w:color="auto"/>
                <w:bottom w:val="none" w:sz="0" w:space="0" w:color="auto"/>
                <w:right w:val="none" w:sz="0" w:space="0" w:color="auto"/>
              </w:divBdr>
              <w:divsChild>
                <w:div w:id="8442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apu-kadastro.net/index.php/sample-levels/tapu-islemleri-akitsiz-2/49-birlestirme-tevhitistem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1599</Words>
  <Characters>9116</Characters>
  <Application>Microsoft Office Word</Application>
  <DocSecurity>0</DocSecurity>
  <Lines>75</Lines>
  <Paragraphs>21</Paragraphs>
  <ScaleCrop>false</ScaleCrop>
  <Company/>
  <LinksUpToDate>false</LinksUpToDate>
  <CharactersWithSpaces>10694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2023-03-10T09:20:00Z</dcterms:created>
  <dcterms:modified xsi:type="dcterms:W3CDTF">2023-03-10T09:21:00Z</dcterms:modified>
</cp:coreProperties>
</file>