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974" w:rsidRPr="00DA3794" w:rsidRDefault="005355CE" w:rsidP="005C2974">
      <w:pPr>
        <w:spacing w:after="0" w:line="240" w:lineRule="auto"/>
        <w:rPr>
          <w:rFonts w:ascii="Times New Roman" w:eastAsia="Times New Roman" w:hAnsi="Times New Roman" w:cs="Times New Roman"/>
          <w:color w:val="C00000"/>
          <w:sz w:val="28"/>
          <w:szCs w:val="28"/>
          <w:lang w:eastAsia="tr-TR"/>
        </w:rPr>
      </w:pPr>
      <w:hyperlink r:id="rId6" w:history="1">
        <w:r w:rsidR="005C2974" w:rsidRPr="00DA3794">
          <w:rPr>
            <w:rFonts w:ascii="Times New Roman" w:eastAsia="Times New Roman" w:hAnsi="Times New Roman" w:cs="Times New Roman"/>
            <w:b/>
            <w:bCs/>
            <w:color w:val="C00000"/>
            <w:sz w:val="28"/>
            <w:szCs w:val="28"/>
            <w:lang w:eastAsia="tr-TR"/>
          </w:rPr>
          <w:t>AB EKONOMİ SÖZLÜĞÜ</w:t>
        </w:r>
      </w:hyperlink>
    </w:p>
    <w:p w:rsidR="005C2974" w:rsidRPr="00DA3794" w:rsidRDefault="005C2974" w:rsidP="008F0085">
      <w:pPr>
        <w:spacing w:after="0" w:line="240" w:lineRule="auto"/>
        <w:outlineLvl w:val="0"/>
        <w:rPr>
          <w:rFonts w:ascii="Times New Roman" w:eastAsia="Times New Roman" w:hAnsi="Times New Roman" w:cs="Times New Roman"/>
          <w:b/>
          <w:bCs/>
          <w:color w:val="003F82"/>
          <w:kern w:val="36"/>
          <w:sz w:val="28"/>
          <w:szCs w:val="28"/>
          <w:lang w:eastAsia="tr-TR"/>
        </w:rPr>
      </w:pPr>
    </w:p>
    <w:p w:rsidR="008F0085" w:rsidRPr="00DA3794" w:rsidRDefault="008F0085" w:rsidP="008F0085">
      <w:pPr>
        <w:spacing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Altılı Paket</w:t>
      </w:r>
    </w:p>
    <w:p w:rsidR="008F0085" w:rsidRPr="00DA3794" w:rsidRDefault="008F0085" w:rsidP="008F0085">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Six Pack</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13 Aralık 2011 tarihinde yürürlüğe giren Altılı Paket, beş tüzük ve bir yönergeden oluşmaktadır. Altılı Paket, tüm AB üye devletler için geçerli olup, Avro Alanı üyesi olan devletler için bazı özel kurallar içermektedir. Ekonomik ve Parasal Birliğin yürürlüğe girmesinden itibaren getirilmiş olan en güçlü ekonomik yönetişim, mali ve makroekonomik gözetim aracıdır. Mali alanda, Üye Devlet bütçeleri ve bütçe açıklarını kontrol altına almayı hedefleyen İstikrar ve Büyüme Paktı’nı güçlendirmiştir.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Buna göre Üye Devletlerin bütçe açığı GSYİH’nin yüzde 3’ünü geçmemelidir. Kamu borcu ise GSYİH’nin yüzde 60’ını aşmamalı veya aşanlar bu eşiğe doğru aşağı çekilmelidir. Altılı Paket, bu paktın önleyici ve düzeltici unsurlarını güçlendirmekte ve yukarıdaki kriterleri ihlal eden ülkelere uygulanan aşırı açık prosedürünü pekiştirmektedir. Bütçe dengesi ile ilgili olarak, belirlenen ülkeye özel, orta vadeli hedeften önemli sapmanın ne anlama geldiğini sayısal olarak tanımlamak suretiyle Altılı Paket, mali kuralların daha sıkı bir şekilde uygulanmasını sağlamaktadır. Orta vadeli büyüme artış hızına göre kamu harcamalarının yıllık artışına bir sınır getirilmekte ve kamu harcamaları için yeterli kaynağın bulunması güvence altına alınmaktadır. Bunun yanında Altılı Paket, kamu borçlanması kriterini de operasyonel hale getirmekte ve bu şekilde referans değere doğru, yeterli hızda azaltılamayan GSYİH’nin yüzde 60’ının üzerindeki borçlanma oranları için de bir aşırı açık prosedürü başlatılabilmektedir.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xml:space="preserve">Aşırı açık prosedüründe olan Üye Devletlerin, Konsey’in kendileri için oluşturduğu tavsiyelere uyması gerekmektedir. Avro Alanı üyesi olan bir devlet yükümlülüklerini yerine getirmezse, Konsey, mali yaptırım uygulanmasına karar verebilmektedir. Ayrıca makroekonomik dengesizliklerin önlenmesi amacıyla da bir aşırı dengesizlik prosedürü oluşturulmuştur. Bu prosedüre göre Avrupa Komisyonu ve Konsey, makroekonomik dengesizlikleri önlemeye yönelik tavsiyelerde bulunabilmekte ve daha ciddi durumlarda Üye Devletler için aşırı dengesizlik prosedürü başlatılabilmektedir. İlgili Üye Devlet, dengesizliği düzeltmeye yönelik bir eylem planı sunmaktadır. Komisyon, Üye Devletlerin hazırladığı düzenli ilerleme raporları ile gözetimi sağlamaktadır. Tavsiye edilen düzeltici eylemi gerçekleştirmemeleri halinde, Avro Alanı ülkelerine mali yaptırım uygulanabilmektedir. 10 </w:t>
      </w:r>
      <w:r w:rsidRPr="00DA3794">
        <w:rPr>
          <w:rFonts w:ascii="Times New Roman" w:eastAsia="Times New Roman" w:hAnsi="Times New Roman" w:cs="Times New Roman"/>
          <w:color w:val="333333"/>
          <w:sz w:val="28"/>
          <w:szCs w:val="28"/>
          <w:lang w:eastAsia="tr-TR"/>
        </w:rPr>
        <w:lastRenderedPageBreak/>
        <w:t>temel göstergeden oluşan bir skor tahtası yardımı ile erken uyarı sistemi oluşturulmuştur.</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Altın Kural</w:t>
      </w:r>
    </w:p>
    <w:p w:rsidR="008F0085" w:rsidRPr="00DA3794" w:rsidRDefault="008F0085" w:rsidP="008F0085">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Golden Rule</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Avro Alanı devletlerinin anayasalarında, bütçe açıklarını belirli bir oran ile sınırlayan maddelere yer verme zorunluluğunun getirilmesidir. 1 Ocak 2013 tarihinde yürürlüğe giren Ekonomik ve Parasal Birlik’te İstikrar, Koordinasyon ve Yönetişime ilişkin Antlaşma uyarınca, yıllık yapısal bütçe açığının nominal GSYİH’nin binde 5’ini aşmaması gerekmektedir. Ancak bu oran, toplam kamu açığının GSYİH’nin yüzde 60’ını aşmadığı ülkelerde yüzde 1’e kadar çıkabilmektedir.</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Aşırı Açık Prosedürü</w:t>
      </w:r>
    </w:p>
    <w:p w:rsidR="008F0085" w:rsidRPr="00DA3794" w:rsidRDefault="008F0085" w:rsidP="008F0085">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Excessive Deficit Procedure (EDP)</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Aşırı Açık Prosedürü, Avrupa Komisyonu tarafından İstikrar ve Büyüme Paktı düzenlemelerinde belirtilen bütçe açığı tavan değerinin aşılması halinde uygulanmaktadır. Çeşitli aşamaları içeren prosedürün son aşamasında, Üye Devletlere Ekonomik ve Parasal Birliğin düzgün işlemesinin gereklerinden biri olan bütçe açığını düşürmeleri yönünde yaptırım uygulanması yer almaktadır. Maastricht Antlaşması’nın Ek Bölümü’nde yer alan Aşırı Açık Prosedürüne İlişkin Protokol uyarınca, Avro Alanı’na Üye Devletler ve bu alana girmeye aday olanların kamu maliyesinin iyi işlemesi gerekmektedir. Bu alandaki iki kriter şu şekilde belirlenmiştir: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Bütçe açığının GSYİH’ye oranı yüzde 3’ü aşmamalıdır,</w:t>
      </w:r>
      <w:r w:rsidRPr="00DA3794">
        <w:rPr>
          <w:rFonts w:ascii="Times New Roman" w:eastAsia="Times New Roman" w:hAnsi="Times New Roman" w:cs="Times New Roman"/>
          <w:color w:val="333333"/>
          <w:sz w:val="28"/>
          <w:szCs w:val="28"/>
          <w:lang w:eastAsia="tr-TR"/>
        </w:rPr>
        <w:br/>
        <w:t>- Kamu borcu GSYİH’nin yüzde 60’ını aşmamalıdır.</w:t>
      </w:r>
    </w:p>
    <w:p w:rsidR="008F0085" w:rsidRPr="00DA3794" w:rsidRDefault="008F0085" w:rsidP="008F0085">
      <w:pPr>
        <w:spacing w:before="150"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0"/>
        <w:gridCol w:w="2035"/>
        <w:gridCol w:w="2381"/>
        <w:gridCol w:w="2721"/>
        <w:gridCol w:w="21"/>
      </w:tblGrid>
      <w:tr w:rsidR="008F0085" w:rsidRPr="00DA3794" w:rsidTr="00DA3794">
        <w:trPr>
          <w:tblHeader/>
          <w:jc w:val="center"/>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b/>
                <w:bCs/>
                <w:color w:val="333333"/>
                <w:sz w:val="28"/>
                <w:szCs w:val="28"/>
                <w:lang w:eastAsia="tr-TR"/>
              </w:rPr>
              <w:t>Mevcut Aşırı Açık Prosedürü Uygulaması Tablosu</w:t>
            </w:r>
          </w:p>
        </w:tc>
      </w:tr>
      <w:tr w:rsidR="008F0085" w:rsidRPr="00DA3794" w:rsidTr="00DA3794">
        <w:trPr>
          <w:jc w:val="center"/>
        </w:trPr>
        <w:tc>
          <w:tcPr>
            <w:tcW w:w="835"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b/>
                <w:bCs/>
                <w:color w:val="333333"/>
                <w:sz w:val="28"/>
                <w:szCs w:val="28"/>
                <w:lang w:eastAsia="tr-TR"/>
              </w:rPr>
              <w:t>Ülke</w:t>
            </w:r>
          </w:p>
        </w:tc>
        <w:tc>
          <w:tcPr>
            <w:tcW w:w="1196"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b/>
                <w:bCs/>
                <w:color w:val="333333"/>
                <w:sz w:val="28"/>
                <w:szCs w:val="28"/>
                <w:lang w:eastAsia="tr-TR"/>
              </w:rPr>
              <w:t>Komisyon raporunun tarihi </w:t>
            </w:r>
          </w:p>
        </w:tc>
        <w:tc>
          <w:tcPr>
            <w:tcW w:w="1386"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b/>
                <w:bCs/>
                <w:color w:val="333333"/>
                <w:sz w:val="28"/>
                <w:szCs w:val="28"/>
                <w:lang w:eastAsia="tr-TR"/>
              </w:rPr>
              <w:t>Aşırı açık olduğuna dair Konsey Kararı</w:t>
            </w:r>
          </w:p>
        </w:tc>
        <w:tc>
          <w:tcPr>
            <w:tcW w:w="1573"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b/>
                <w:bCs/>
                <w:color w:val="333333"/>
                <w:sz w:val="28"/>
                <w:szCs w:val="28"/>
                <w:lang w:eastAsia="tr-TR"/>
              </w:rPr>
              <w:t>Gerekli düzeltmenin yapılması için son tarih</w:t>
            </w:r>
          </w:p>
        </w:tc>
        <w:tc>
          <w:tcPr>
            <w:tcW w:w="9" w:type="pct"/>
            <w:vAlign w:val="center"/>
            <w:hideMark/>
          </w:tcPr>
          <w:p w:rsidR="008F0085" w:rsidRPr="00DA3794" w:rsidRDefault="008F0085" w:rsidP="008F0085">
            <w:pPr>
              <w:spacing w:after="0" w:line="240" w:lineRule="auto"/>
              <w:rPr>
                <w:rFonts w:ascii="Times New Roman" w:eastAsia="Times New Roman" w:hAnsi="Times New Roman" w:cs="Times New Roman"/>
                <w:sz w:val="28"/>
                <w:szCs w:val="28"/>
                <w:lang w:eastAsia="tr-TR"/>
              </w:rPr>
            </w:pPr>
          </w:p>
        </w:tc>
      </w:tr>
      <w:tr w:rsidR="008F0085" w:rsidRPr="00DA3794" w:rsidTr="00DA3794">
        <w:trPr>
          <w:jc w:val="center"/>
        </w:trPr>
        <w:tc>
          <w:tcPr>
            <w:tcW w:w="835"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Hırvatistan </w:t>
            </w:r>
          </w:p>
        </w:tc>
        <w:tc>
          <w:tcPr>
            <w:tcW w:w="1196"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15 Kasım 2013</w:t>
            </w:r>
          </w:p>
        </w:tc>
        <w:tc>
          <w:tcPr>
            <w:tcW w:w="1386"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21 Ocak 2014</w:t>
            </w:r>
          </w:p>
        </w:tc>
        <w:tc>
          <w:tcPr>
            <w:tcW w:w="1573"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2016</w:t>
            </w:r>
          </w:p>
        </w:tc>
        <w:tc>
          <w:tcPr>
            <w:tcW w:w="9" w:type="pct"/>
            <w:vAlign w:val="center"/>
            <w:hideMark/>
          </w:tcPr>
          <w:p w:rsidR="008F0085" w:rsidRPr="00DA3794" w:rsidRDefault="008F0085" w:rsidP="008F0085">
            <w:pPr>
              <w:spacing w:after="0" w:line="240" w:lineRule="auto"/>
              <w:rPr>
                <w:rFonts w:ascii="Times New Roman" w:eastAsia="Times New Roman" w:hAnsi="Times New Roman" w:cs="Times New Roman"/>
                <w:sz w:val="28"/>
                <w:szCs w:val="28"/>
                <w:lang w:eastAsia="tr-TR"/>
              </w:rPr>
            </w:pPr>
          </w:p>
        </w:tc>
      </w:tr>
      <w:tr w:rsidR="008F0085" w:rsidRPr="00DA3794" w:rsidTr="00DA3794">
        <w:trPr>
          <w:jc w:val="center"/>
        </w:trPr>
        <w:tc>
          <w:tcPr>
            <w:tcW w:w="835"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Malta</w:t>
            </w:r>
          </w:p>
        </w:tc>
        <w:tc>
          <w:tcPr>
            <w:tcW w:w="1196"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21 Mayıs 2013</w:t>
            </w:r>
          </w:p>
        </w:tc>
        <w:tc>
          <w:tcPr>
            <w:tcW w:w="1386"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21 Haziran 2013</w:t>
            </w:r>
          </w:p>
        </w:tc>
        <w:tc>
          <w:tcPr>
            <w:tcW w:w="1573"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2014</w:t>
            </w:r>
          </w:p>
        </w:tc>
        <w:tc>
          <w:tcPr>
            <w:tcW w:w="9" w:type="pct"/>
            <w:vAlign w:val="center"/>
            <w:hideMark/>
          </w:tcPr>
          <w:p w:rsidR="008F0085" w:rsidRPr="00DA3794" w:rsidRDefault="008F0085" w:rsidP="008F0085">
            <w:pPr>
              <w:spacing w:after="0" w:line="240" w:lineRule="auto"/>
              <w:rPr>
                <w:rFonts w:ascii="Times New Roman" w:eastAsia="Times New Roman" w:hAnsi="Times New Roman" w:cs="Times New Roman"/>
                <w:sz w:val="28"/>
                <w:szCs w:val="28"/>
                <w:lang w:eastAsia="tr-TR"/>
              </w:rPr>
            </w:pPr>
          </w:p>
        </w:tc>
      </w:tr>
      <w:tr w:rsidR="008F0085" w:rsidRPr="00DA3794" w:rsidTr="00DA3794">
        <w:trPr>
          <w:jc w:val="center"/>
        </w:trPr>
        <w:tc>
          <w:tcPr>
            <w:tcW w:w="835"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GKRY</w:t>
            </w:r>
          </w:p>
        </w:tc>
        <w:tc>
          <w:tcPr>
            <w:tcW w:w="1196"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12 Mayıs 2010</w:t>
            </w:r>
          </w:p>
        </w:tc>
        <w:tc>
          <w:tcPr>
            <w:tcW w:w="1386"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13 Temmuz 2010</w:t>
            </w:r>
          </w:p>
        </w:tc>
        <w:tc>
          <w:tcPr>
            <w:tcW w:w="1573"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2016</w:t>
            </w:r>
          </w:p>
        </w:tc>
        <w:tc>
          <w:tcPr>
            <w:tcW w:w="9" w:type="pct"/>
            <w:vAlign w:val="center"/>
            <w:hideMark/>
          </w:tcPr>
          <w:p w:rsidR="008F0085" w:rsidRPr="00DA3794" w:rsidRDefault="008F0085" w:rsidP="008F0085">
            <w:pPr>
              <w:spacing w:after="0" w:line="240" w:lineRule="auto"/>
              <w:rPr>
                <w:rFonts w:ascii="Times New Roman" w:eastAsia="Times New Roman" w:hAnsi="Times New Roman" w:cs="Times New Roman"/>
                <w:sz w:val="28"/>
                <w:szCs w:val="28"/>
                <w:lang w:eastAsia="tr-TR"/>
              </w:rPr>
            </w:pPr>
          </w:p>
        </w:tc>
      </w:tr>
      <w:tr w:rsidR="008F0085" w:rsidRPr="00DA3794" w:rsidTr="00DA3794">
        <w:trPr>
          <w:jc w:val="center"/>
        </w:trPr>
        <w:tc>
          <w:tcPr>
            <w:tcW w:w="835"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Portekiz</w:t>
            </w:r>
          </w:p>
        </w:tc>
        <w:tc>
          <w:tcPr>
            <w:tcW w:w="1196"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7 Ekim 2009</w:t>
            </w:r>
          </w:p>
        </w:tc>
        <w:tc>
          <w:tcPr>
            <w:tcW w:w="1386"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2 Aralık 2009</w:t>
            </w:r>
          </w:p>
        </w:tc>
        <w:tc>
          <w:tcPr>
            <w:tcW w:w="1573"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2015</w:t>
            </w:r>
          </w:p>
        </w:tc>
        <w:tc>
          <w:tcPr>
            <w:tcW w:w="9" w:type="pct"/>
            <w:vAlign w:val="center"/>
            <w:hideMark/>
          </w:tcPr>
          <w:p w:rsidR="008F0085" w:rsidRPr="00DA3794" w:rsidRDefault="008F0085" w:rsidP="008F0085">
            <w:pPr>
              <w:spacing w:after="0" w:line="240" w:lineRule="auto"/>
              <w:rPr>
                <w:rFonts w:ascii="Times New Roman" w:eastAsia="Times New Roman" w:hAnsi="Times New Roman" w:cs="Times New Roman"/>
                <w:sz w:val="28"/>
                <w:szCs w:val="28"/>
                <w:lang w:eastAsia="tr-TR"/>
              </w:rPr>
            </w:pPr>
          </w:p>
        </w:tc>
      </w:tr>
      <w:tr w:rsidR="008F0085" w:rsidRPr="00DA3794" w:rsidTr="00DA3794">
        <w:trPr>
          <w:jc w:val="center"/>
        </w:trPr>
        <w:tc>
          <w:tcPr>
            <w:tcW w:w="835"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Slovenya</w:t>
            </w:r>
          </w:p>
        </w:tc>
        <w:tc>
          <w:tcPr>
            <w:tcW w:w="1196"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7 Ekim 2009</w:t>
            </w:r>
          </w:p>
        </w:tc>
        <w:tc>
          <w:tcPr>
            <w:tcW w:w="1386"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2 Aralık 2009</w:t>
            </w:r>
          </w:p>
        </w:tc>
        <w:tc>
          <w:tcPr>
            <w:tcW w:w="1573"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2015</w:t>
            </w:r>
          </w:p>
        </w:tc>
        <w:tc>
          <w:tcPr>
            <w:tcW w:w="9" w:type="pct"/>
            <w:vAlign w:val="center"/>
            <w:hideMark/>
          </w:tcPr>
          <w:p w:rsidR="008F0085" w:rsidRPr="00DA3794" w:rsidRDefault="008F0085" w:rsidP="008F0085">
            <w:pPr>
              <w:spacing w:after="0" w:line="240" w:lineRule="auto"/>
              <w:rPr>
                <w:rFonts w:ascii="Times New Roman" w:eastAsia="Times New Roman" w:hAnsi="Times New Roman" w:cs="Times New Roman"/>
                <w:sz w:val="28"/>
                <w:szCs w:val="28"/>
                <w:lang w:eastAsia="tr-TR"/>
              </w:rPr>
            </w:pPr>
          </w:p>
        </w:tc>
      </w:tr>
      <w:tr w:rsidR="008F0085" w:rsidRPr="00DA3794" w:rsidTr="00DA3794">
        <w:trPr>
          <w:jc w:val="center"/>
        </w:trPr>
        <w:tc>
          <w:tcPr>
            <w:tcW w:w="835"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Polonya</w:t>
            </w:r>
          </w:p>
        </w:tc>
        <w:tc>
          <w:tcPr>
            <w:tcW w:w="1196"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13 Mayıs 2009</w:t>
            </w:r>
          </w:p>
        </w:tc>
        <w:tc>
          <w:tcPr>
            <w:tcW w:w="1386"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7 Temmuz 2009</w:t>
            </w:r>
          </w:p>
        </w:tc>
        <w:tc>
          <w:tcPr>
            <w:tcW w:w="1573"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2015</w:t>
            </w:r>
          </w:p>
        </w:tc>
        <w:tc>
          <w:tcPr>
            <w:tcW w:w="9" w:type="pct"/>
            <w:vAlign w:val="center"/>
            <w:hideMark/>
          </w:tcPr>
          <w:p w:rsidR="008F0085" w:rsidRPr="00DA3794" w:rsidRDefault="008F0085" w:rsidP="008F0085">
            <w:pPr>
              <w:spacing w:after="0" w:line="240" w:lineRule="auto"/>
              <w:rPr>
                <w:rFonts w:ascii="Times New Roman" w:eastAsia="Times New Roman" w:hAnsi="Times New Roman" w:cs="Times New Roman"/>
                <w:sz w:val="28"/>
                <w:szCs w:val="28"/>
                <w:lang w:eastAsia="tr-TR"/>
              </w:rPr>
            </w:pPr>
          </w:p>
        </w:tc>
      </w:tr>
      <w:tr w:rsidR="008F0085" w:rsidRPr="00DA3794" w:rsidTr="00DA3794">
        <w:trPr>
          <w:jc w:val="center"/>
        </w:trPr>
        <w:tc>
          <w:tcPr>
            <w:tcW w:w="835"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Fransa</w:t>
            </w:r>
          </w:p>
        </w:tc>
        <w:tc>
          <w:tcPr>
            <w:tcW w:w="1196"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18 Şubat 2009</w:t>
            </w:r>
          </w:p>
        </w:tc>
        <w:tc>
          <w:tcPr>
            <w:tcW w:w="1386"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27 Nisan 2009</w:t>
            </w:r>
          </w:p>
        </w:tc>
        <w:tc>
          <w:tcPr>
            <w:tcW w:w="1573"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2015</w:t>
            </w:r>
          </w:p>
        </w:tc>
        <w:tc>
          <w:tcPr>
            <w:tcW w:w="9" w:type="pct"/>
            <w:vAlign w:val="center"/>
            <w:hideMark/>
          </w:tcPr>
          <w:p w:rsidR="008F0085" w:rsidRPr="00DA3794" w:rsidRDefault="008F0085" w:rsidP="008F0085">
            <w:pPr>
              <w:spacing w:after="0" w:line="240" w:lineRule="auto"/>
              <w:rPr>
                <w:rFonts w:ascii="Times New Roman" w:eastAsia="Times New Roman" w:hAnsi="Times New Roman" w:cs="Times New Roman"/>
                <w:sz w:val="28"/>
                <w:szCs w:val="28"/>
                <w:lang w:eastAsia="tr-TR"/>
              </w:rPr>
            </w:pPr>
          </w:p>
        </w:tc>
      </w:tr>
      <w:tr w:rsidR="008F0085" w:rsidRPr="00DA3794" w:rsidTr="00DA3794">
        <w:trPr>
          <w:jc w:val="center"/>
        </w:trPr>
        <w:tc>
          <w:tcPr>
            <w:tcW w:w="835"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İrlanda</w:t>
            </w:r>
          </w:p>
        </w:tc>
        <w:tc>
          <w:tcPr>
            <w:tcW w:w="1196"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18 Şubat 2009</w:t>
            </w:r>
          </w:p>
        </w:tc>
        <w:tc>
          <w:tcPr>
            <w:tcW w:w="1386"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27 Nisan 2009</w:t>
            </w:r>
          </w:p>
        </w:tc>
        <w:tc>
          <w:tcPr>
            <w:tcW w:w="1573"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2015</w:t>
            </w:r>
          </w:p>
        </w:tc>
        <w:tc>
          <w:tcPr>
            <w:tcW w:w="9" w:type="pct"/>
            <w:vAlign w:val="center"/>
            <w:hideMark/>
          </w:tcPr>
          <w:p w:rsidR="008F0085" w:rsidRPr="00DA3794" w:rsidRDefault="008F0085" w:rsidP="008F0085">
            <w:pPr>
              <w:spacing w:after="0" w:line="240" w:lineRule="auto"/>
              <w:rPr>
                <w:rFonts w:ascii="Times New Roman" w:eastAsia="Times New Roman" w:hAnsi="Times New Roman" w:cs="Times New Roman"/>
                <w:sz w:val="28"/>
                <w:szCs w:val="28"/>
                <w:lang w:eastAsia="tr-TR"/>
              </w:rPr>
            </w:pPr>
          </w:p>
        </w:tc>
      </w:tr>
      <w:tr w:rsidR="008F0085" w:rsidRPr="00DA3794" w:rsidTr="00DA3794">
        <w:trPr>
          <w:jc w:val="center"/>
        </w:trPr>
        <w:tc>
          <w:tcPr>
            <w:tcW w:w="835"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Yunanistan</w:t>
            </w:r>
          </w:p>
        </w:tc>
        <w:tc>
          <w:tcPr>
            <w:tcW w:w="1196"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18 Şubat 2009</w:t>
            </w:r>
          </w:p>
        </w:tc>
        <w:tc>
          <w:tcPr>
            <w:tcW w:w="1386"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27 Nisan 2009</w:t>
            </w:r>
          </w:p>
        </w:tc>
        <w:tc>
          <w:tcPr>
            <w:tcW w:w="1573"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2016</w:t>
            </w:r>
          </w:p>
        </w:tc>
        <w:tc>
          <w:tcPr>
            <w:tcW w:w="9" w:type="pct"/>
            <w:vAlign w:val="center"/>
            <w:hideMark/>
          </w:tcPr>
          <w:p w:rsidR="008F0085" w:rsidRPr="00DA3794" w:rsidRDefault="008F0085" w:rsidP="008F0085">
            <w:pPr>
              <w:spacing w:after="0" w:line="240" w:lineRule="auto"/>
              <w:rPr>
                <w:rFonts w:ascii="Times New Roman" w:eastAsia="Times New Roman" w:hAnsi="Times New Roman" w:cs="Times New Roman"/>
                <w:sz w:val="28"/>
                <w:szCs w:val="28"/>
                <w:lang w:eastAsia="tr-TR"/>
              </w:rPr>
            </w:pPr>
          </w:p>
        </w:tc>
      </w:tr>
      <w:tr w:rsidR="008F0085" w:rsidRPr="00DA3794" w:rsidTr="00DA3794">
        <w:trPr>
          <w:jc w:val="center"/>
        </w:trPr>
        <w:tc>
          <w:tcPr>
            <w:tcW w:w="835"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İspanya</w:t>
            </w:r>
          </w:p>
        </w:tc>
        <w:tc>
          <w:tcPr>
            <w:tcW w:w="1196"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18 Şubat 2009</w:t>
            </w:r>
          </w:p>
        </w:tc>
        <w:tc>
          <w:tcPr>
            <w:tcW w:w="1386"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27 Nisan 2009</w:t>
            </w:r>
          </w:p>
        </w:tc>
        <w:tc>
          <w:tcPr>
            <w:tcW w:w="1573"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27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2016</w:t>
            </w:r>
          </w:p>
        </w:tc>
        <w:tc>
          <w:tcPr>
            <w:tcW w:w="9" w:type="pct"/>
            <w:vAlign w:val="center"/>
            <w:hideMark/>
          </w:tcPr>
          <w:p w:rsidR="008F0085" w:rsidRPr="00DA3794" w:rsidRDefault="008F0085" w:rsidP="008F0085">
            <w:pPr>
              <w:spacing w:after="0" w:line="240" w:lineRule="auto"/>
              <w:rPr>
                <w:rFonts w:ascii="Times New Roman" w:eastAsia="Times New Roman" w:hAnsi="Times New Roman" w:cs="Times New Roman"/>
                <w:sz w:val="28"/>
                <w:szCs w:val="28"/>
                <w:lang w:eastAsia="tr-TR"/>
              </w:rPr>
            </w:pPr>
          </w:p>
        </w:tc>
      </w:tr>
      <w:tr w:rsidR="008F0085" w:rsidRPr="00DA3794" w:rsidTr="00DA3794">
        <w:trPr>
          <w:trHeight w:val="30"/>
          <w:jc w:val="center"/>
        </w:trPr>
        <w:tc>
          <w:tcPr>
            <w:tcW w:w="835"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3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İngiltere</w:t>
            </w:r>
          </w:p>
        </w:tc>
        <w:tc>
          <w:tcPr>
            <w:tcW w:w="1196"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3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11 Haziran 2008</w:t>
            </w:r>
          </w:p>
        </w:tc>
        <w:tc>
          <w:tcPr>
            <w:tcW w:w="1386"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3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8 Temmuz 2008</w:t>
            </w:r>
          </w:p>
        </w:tc>
        <w:tc>
          <w:tcPr>
            <w:tcW w:w="1573" w:type="pct"/>
            <w:tcBorders>
              <w:top w:val="outset" w:sz="6" w:space="0" w:color="auto"/>
              <w:left w:val="outset" w:sz="6" w:space="0" w:color="auto"/>
              <w:bottom w:val="outset" w:sz="6" w:space="0" w:color="auto"/>
              <w:right w:val="outset" w:sz="6" w:space="0" w:color="auto"/>
            </w:tcBorders>
            <w:vAlign w:val="center"/>
            <w:hideMark/>
          </w:tcPr>
          <w:p w:rsidR="008F0085" w:rsidRPr="00DA3794" w:rsidRDefault="008F0085" w:rsidP="008F0085">
            <w:pPr>
              <w:spacing w:before="150" w:after="0" w:line="30" w:lineRule="atLeast"/>
              <w:ind w:left="300" w:right="300"/>
              <w:jc w:val="center"/>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2014/15 mali yılı</w:t>
            </w:r>
          </w:p>
        </w:tc>
        <w:tc>
          <w:tcPr>
            <w:tcW w:w="9" w:type="pct"/>
            <w:vAlign w:val="center"/>
            <w:hideMark/>
          </w:tcPr>
          <w:p w:rsidR="008F0085" w:rsidRPr="00DA3794" w:rsidRDefault="008F0085" w:rsidP="008F0085">
            <w:pPr>
              <w:spacing w:after="0" w:line="240" w:lineRule="auto"/>
              <w:rPr>
                <w:rFonts w:ascii="Times New Roman" w:eastAsia="Times New Roman" w:hAnsi="Times New Roman" w:cs="Times New Roman"/>
                <w:sz w:val="28"/>
                <w:szCs w:val="28"/>
                <w:lang w:eastAsia="tr-TR"/>
              </w:rPr>
            </w:pPr>
          </w:p>
        </w:tc>
      </w:tr>
    </w:tbl>
    <w:p w:rsidR="008F0085" w:rsidRPr="00DA3794" w:rsidRDefault="008F0085" w:rsidP="008F0085">
      <w:pPr>
        <w:spacing w:after="0" w:line="240" w:lineRule="auto"/>
        <w:rPr>
          <w:rFonts w:ascii="Times New Roman" w:eastAsia="Times New Roman" w:hAnsi="Times New Roman" w:cs="Times New Roman"/>
          <w:color w:val="000000"/>
          <w:sz w:val="28"/>
          <w:szCs w:val="28"/>
          <w:lang w:eastAsia="tr-TR"/>
        </w:rPr>
      </w:pPr>
      <w:r w:rsidRPr="00DA3794">
        <w:rPr>
          <w:rFonts w:ascii="Times New Roman" w:eastAsia="Times New Roman" w:hAnsi="Times New Roman" w:cs="Times New Roman"/>
          <w:color w:val="000000"/>
          <w:sz w:val="28"/>
          <w:szCs w:val="28"/>
          <w:lang w:eastAsia="tr-TR"/>
        </w:rPr>
        <w:t> </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479/2009 sayılı Konsey Tüzüğü uyarınca, Üye Devletlerin 1 Nisan ve 1 Ekim tarihlerine kadar ulusal verilerini AB İstatistik Kurumu Eurostat’a sunmaları gerekmektedir. Elindeki verileri değerlendiren Eurostat, üç hafta içerisinde bütçe açığı ve kamu borcu verilerini yayımlamaktadır.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Eldeki veriler ışığında Konsey’in aşırı açık prosedürünü uygulamaya karar vermesi halinde, öncelikle ilgili Üye Devlete çeşitli tavsiyelerde bulunulmakta ve söz konusu açığı düşürmek için gerekli önlemleri uygulaması için bir takvim belirlemesi istenmektedir. Verdiği tavsiyelerin uygulanmasını yakından izleyen Konsey, sorunun aşılması halinde aşırı bütçe açığı prosedürünü sonlandırmaktadır. Söz konusu Üye Devletin taahhütlerini yerine getirmemesi halinde ise aşırı açık prosedürünün sonraki aşamalarına geçilmektedir. Bu aşamalar para cezalarını da içermektedir.</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Aşırı Dengesizlik Prosedürü</w:t>
      </w:r>
    </w:p>
    <w:p w:rsidR="008F0085" w:rsidRPr="00DA3794" w:rsidRDefault="008F0085" w:rsidP="008F0085">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Excessive Imbalance Procedure</w:t>
      </w:r>
      <w:r w:rsidRPr="00DA3794">
        <w:rPr>
          <w:rFonts w:ascii="Times New Roman" w:eastAsia="Times New Roman" w:hAnsi="Times New Roman" w:cs="Times New Roman"/>
          <w:color w:val="333333"/>
          <w:sz w:val="28"/>
          <w:szCs w:val="28"/>
          <w:lang w:eastAsia="tr-TR"/>
        </w:rPr>
        <w:br/>
        <w:t> </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Çeşitli ekonomik göstergelerden oluşan bir puan tablosuyla, Avrupa Ekonomik ve Parasal Birliği’nin düzgün işleyişini tehlikeye atabilecek makroekonomik dengesizliklerinin meydana geldiği tespit edildiğinde, Avrupa Komisyonu, Bakanlar Konseyi’nden, ilgili Üye Devletin makroekonomik dengesizlik prosedürünün düzeltici ayağı olan aşırı dengesizlik prosedürüne tabii tutulmasını talep etmektedir. Böyle bir durumda, ilgili Üye Devletin detaylı bir yol haritası ve öngörülen eylemler için bir zaman takvimini kapsayan bir düzeltici eylem planı sunması beklenmektedir. Avrupa Komisyonu, düzenli olarak hazırlanan ve yayımlanan raporlarla bu süreci yakından takip edecektir.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Aşırı dengesizlik prosedürü kapsamında, Avro Alanı’na üye bir ülke, tavsiye edilen düzeltici eylem planını uygulamaya geçiremez ise söz konusu ülkeye mali yaptırımların uygulanması öngörülmektedir. Bu yaptırımlar, GSYİH’nin binde 1’ine tekabül eden bir para cezasına dönüşebilmektedir. Uygulamada yaşanılan gecikmeler dışında ayrıca, aşırı dengesizlik pro- sedürüne tabi olan bir ülke üst üste iki kere uygun bir düzeltici eylem planı sunamaz ise bu yaptırımların devreye girmesi söz konusudur.</w:t>
      </w:r>
    </w:p>
    <w:p w:rsidR="008F0085" w:rsidRPr="00DA3794" w:rsidRDefault="008F0085" w:rsidP="008F0085">
      <w:pPr>
        <w:spacing w:before="150"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Avro</w:t>
      </w:r>
    </w:p>
    <w:p w:rsidR="008F0085" w:rsidRPr="00DA3794" w:rsidRDefault="008F0085" w:rsidP="008F0085">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Euro</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Avro Alanı’na katılan ülkelerin kullandığı ortak para birimidir. 1 Ocak 1999 tarihinde yürürlüğe giren avro, ilk üç yıl elektronik ödemeler gibi işlemlerde kullanılan kaydi para iken, 1 Ocak 2002 tarihinden itibaren efektif olarak kullanılmaya başlanmıştır. Halihazırda 18 Avro Alanı ülkesinin yanı sıra (Almanya, Avusturya, Belçika, Estonya, Finlandiya, Fransa, Hollanda, İrlanda, İspanya, İtalya, GKRY, Letonya, Lüksemburg, Malta, Portekiz, Slovakya, Slovenya, Yunanistan) Monako, San Marino ve Vatikan Avrupa Topluluğu ile yaptıkları anlaşmaya dayanarak; Andora, Karadağ ve Kosova ise herhangi bir resmi anlaşma olmaksızın avro kullanmaktadırlar. AB üye devletlerinden Litvanya'nın 1 Ocak 2015 tarihi itibarıyla, ortak para birimi avroyu kullanmaya başlaması Temmuz 2014'te AB Konseyi tarafından teyit edilmiştir.</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Avro Alanı</w:t>
      </w:r>
    </w:p>
    <w:p w:rsidR="008F0085" w:rsidRPr="00DA3794" w:rsidRDefault="008F0085" w:rsidP="008F0085">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Euro Area</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Maastricht Kriterleri’ni karşılayan ve ortak para birimi avroyu kullanan Üye Devletlerin oluşturduğu birliktir. Avrupa Merkez Bankası, para politikasını yürütmekten sorumlu kurumdur. Halihazırda, 28 üyeli AB’de, 18 Üye Devlet Avro Alanı’na dâhildir. 1 Ocak 2015 tarihinde Litvanya'nın da ortak para birimini kullanmaya başlamasıyla, Avro Alanı'na dahil olan Üye Devlet sayısı 19'a yükselecektir. Bunun yanında İngiltere ve Danimarka’nın “opt-out” yani Avro Alanı dışında kalma hakkı, AB Antlaşması’nın ekindeki Protokol ile garanti altın alınmıştır. Bu ülkeler, kendi istedikleri zaman Avro Alanı’na katılabileceklerdir.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Avro Alanı’nın para politikası, Avro Sistemi tarafından yürütülür. Avro Sistemi, merkezi Frankfurt’ta bulunan Avrupa Merkez Bankası ve Avro Alanı ülkelerinin merkez bankalarından oluşmaktadır.</w:t>
      </w:r>
    </w:p>
    <w:p w:rsidR="008F0085" w:rsidRPr="00DA3794" w:rsidRDefault="008F0085" w:rsidP="008F0085">
      <w:pPr>
        <w:spacing w:before="150"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b/>
          <w:bCs/>
          <w:color w:val="333333"/>
          <w:sz w:val="28"/>
          <w:szCs w:val="28"/>
          <w:lang w:eastAsia="tr-TR"/>
        </w:rPr>
        <w:t>Üye Devletlerin Avro Alanı’na Katılımı</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 Ocak 1999  Almanya, Avusturya, Belçika, Finlandiya, Fransa, Hollanda, İrlanda, İspanya, İtalya, Lüksemburg, Portekiz</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 Ocak 2001  Yunanistan</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 Ocak 2007  Slovenya</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 Ocak 2008  GKRY, Malta</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 Ocak 2009  Slovakya</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 Ocak 2011  Estonya</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 Ocak 2014  Letonya</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 Ocak 2015  Litvanya </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Avro Artı Paktı / Avro Paktı</w:t>
      </w:r>
    </w:p>
    <w:p w:rsidR="008F0085" w:rsidRPr="00DA3794" w:rsidRDefault="008F0085" w:rsidP="008F0085">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Pact for the Euro / Euro Plus Pact</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Yönetişime ilişkin reformlara ivme kazandırmak adına, AB’nin 23 Üye Devleti, Avro Alanı’nın Üye Devletleri ve Avro Alanı dışında kalan altı ülke dâhil (Bulgaristan, Danimarka, Letonya, Litvanya, Polonya ve Romanya), 11 Mart 2011 tarihinde Avro Artı Paktı’nı imzalamışlardır. Çek Cumhuriyeti, Macaristan, İsveç ve İngiltere ise söz konusu Pakta dâhil olmamışlardır. Bu Pakt, imzacı ülkelerin rekabet ve uyum için daha güçlü ekonomik iş birliği taahhüdünü içermektedir. Ayrıca ulusal yetki alanına giren hususlarda her yıl Devlet veya Hükümet Başkanları tarafından gözden geçirilecek hedefler öngörülmüştür. Avro Alanı Devlet Başkanları, Avro Paktı’nı kabul ederek, parasal birliğin ekonomik ayağını güçlendirmeyi, Avro Alanı’nda daha iyi bir ekonomi politikası koordinasyonuna ulaşmayı, rekabet gücünü artırmayı ve böylelikle Üye Devletler arasında daha iyi bir uyum yakalamayı amaçlamışlardır. Bu hedeflere ulaşmak için, dört temel kurala uyulması talep edilmektedir.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Bu dört temel kural, sırasıyla şunlardır:</w:t>
      </w:r>
    </w:p>
    <w:p w:rsid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 Alınacak yeni önlemlerin, AB’de mevcut olan ekonomik yönetişimi güçlendirme çabaları ile uyumlu olun</w:t>
      </w:r>
      <w:r w:rsidR="00DA3794">
        <w:rPr>
          <w:rFonts w:ascii="Times New Roman" w:eastAsia="Times New Roman" w:hAnsi="Times New Roman" w:cs="Times New Roman"/>
          <w:color w:val="333333"/>
          <w:sz w:val="28"/>
          <w:szCs w:val="28"/>
          <w:lang w:eastAsia="tr-TR"/>
        </w:rPr>
        <w:t>ması,</w:t>
      </w:r>
    </w:p>
    <w:p w:rsid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2. Rekabet ve ekonomik uyumu öncelikli olarak teşvik eden alanları kapsayac</w:t>
      </w:r>
      <w:r w:rsidR="00DA3794">
        <w:rPr>
          <w:rFonts w:ascii="Times New Roman" w:eastAsia="Times New Roman" w:hAnsi="Times New Roman" w:cs="Times New Roman"/>
          <w:color w:val="333333"/>
          <w:sz w:val="28"/>
          <w:szCs w:val="28"/>
          <w:lang w:eastAsia="tr-TR"/>
        </w:rPr>
        <w:t>ak eylemlere odaklanılması,</w:t>
      </w:r>
    </w:p>
    <w:p w:rsid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3. Her yıl üye ülkenin Devlet ve Hükümet Başkanları tarafından bu hedefleri gerçekleştirmeye yönelik somut ulusal taahhütlerin belirlenmesi</w:t>
      </w:r>
      <w:r w:rsidR="00DA3794">
        <w:rPr>
          <w:rFonts w:ascii="Times New Roman" w:eastAsia="Times New Roman" w:hAnsi="Times New Roman" w:cs="Times New Roman"/>
          <w:color w:val="333333"/>
          <w:sz w:val="28"/>
          <w:szCs w:val="28"/>
          <w:lang w:eastAsia="tr-TR"/>
        </w:rPr>
        <w:t>,</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4. Tek Pazar’ın bütünlüğünün korunması.</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Avro Artı Pakt ile dört ana stratejik hat belirlenmiştir. Bunlar, rekabet gücünün artırılması, istihdamın artırılması, kamu maliyesinde sürdürülebilirliğin sağlanması ve finansal istikrarın güçlendirilmesidir. Bunlara ilaveten, vergi politikası konusunda daha fazla koordinasyon sağlanması da öngörülmektedir.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Rekabet gücünü artırma hedefi kapsamında, ücretlerin ve verimlilik eğilimlerinin izlenmesi ve verimliliği artıracak önlemlerin alınması öngörülmektedir. Bu kapsamda, özellikle eğitim sisteminin iyileştirilmesine; Ar-Ge çalışmalarının, yenilikçiliğin ve altyapıların desteklenmesine; başta KOBİ’ler için olmak üzere iş ortamının iyileştirilmesine öncelik verilmektedir. Bunlara ilaveten, mesleki hizmetler ve perakende sektöründe uygulanan haksız kısıtlamaların kaldırılması için ulusal düzeyde belirlenecek önlemlerle söz konusu korunan sektörlerin serbestleştirilmesi de öncelik teşkil etmektedir. Ayrıca sosyal diyalog ve sanayi ilişkilerinde ulusal gelenekleri gözetleyerek, maliyetlere ilişkin gelişmelerin verimine göre önlemlerin alınması, teşvik edilmesi de öncelikler arasında yer almaktadır.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İstihdamı artırma hedefi kapsamında, iş gücü piyasasında reformların yürütülmesi ve özellikle bu reformların “güvenceli esneklik” alanında (flexisecurity) hayata geçirilmesine, kayıt dışı istihdamın azaltılmasına, hayat boyu öğrenimin teşvik edilmesine ve iş gücü piyasasına katılımı artırmak için vergi reformlarının gerçekleştirilmesine öncelik verilmektedir.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Kamu maliyesinin sürdürülebilirliğini sağlama hedefi kapsamında, özellikle emekli maaşları, sağlık ve sosyal yardımların sürdürülebilirliğinin artırılması hedeflenmektedir. Bu çerçevede, emeklilik sisteminin demografik değişiklikler ve yeni demografi eğilimleri göz önünde tutarak gözden geçirilmesi ve erken emeklilik planı sınırlanması öngörülmektedir. Bu önlemlerin yanı sıra Büyüme ve İstikrar Paktı tarafından belirlenen AB mali kurallarının, ulusal mali kurallara dönüştürülmesi de öngörülmektedir.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Finansal istikrarı güçlendirme hedefi çerçevesinde, finansal sektörün gözetimi ve düzenlemesine ilişkin kapsamlı reformların hayata geçirilmesi hedeflenmektedir. Bu hedef doğrultusunda, Üye Devletlerin bankacılık alanındaki yasal düzenlemelerinin AB müktesebatıyla uyumlu olmasının sağlanması ve düzenli olarak banka stres testlerinin uygulanması öngörülmüştür. Vergi politikası konusunda daha fazla koordinasyon sağlanması için de Avrupa Komisyonu, ortak bir kurumsal vergi tabanının oluşturulmasını önermektedir.</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Avro Grubu</w:t>
      </w:r>
    </w:p>
    <w:p w:rsidR="008F0085" w:rsidRPr="00DA3794" w:rsidRDefault="008F0085" w:rsidP="008F0085">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Eurogroup</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Avro Alanı’nın temel yönetişim forumu konumunda olan Avro Grubu, Avro Alanı maliye bakanlarını bir araya getiren ve 21 Ocak 2013 itibarıyla Hollanda Maliye Bakanı Jeroen Dijsselbloem’in başkanlık ettiği gayrı resmi organdır. Avro Grubu toplantılarına, ortak para birimi avroyu kullanan on yedi AB üyesinin maliye bakanları dışında, Avrupa Komisyonu’nun Ekonomik ve Parasal İşlerden Sorumlu Başkan Yardımcısı ve Avrupa Merkez Bankası Başkanı da iştirak etmektedir.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Temel görevi Avro Alanı’nda ekonomi politikalarının yakın koordinasyonunun sağlanması olan Avro Grubu, ayrıca güçlü ekonomik büyüme ve finansal istikrar için gerekli koşulların yaratılmasını amaçlamaktadır. Avro Grubu, görevleri kapsamında Avro Zirve Toplantıları’nı hazırlamaktadır. Avro Grubu, genellikle ayda bir kez AB Ekonomik ve Mali İşler Konseyi toplantısından bir gün önce toplanmasına rağmen, Avro Alanı’ndaki borçlanma krizi, Avro Grubu toplantı trafiğinin de büyük ölçüde artmasına yol açmış ve birçok olağanüstü toplantı ve telekonferans görüşmesi gerçekleştirilmiştir.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Avro Alanı maliye bakanları, ilk gayrı resmi  toplantılarını 4 Temmuz 1998 tarihinde Lüksemburg’daki Senningen Şatosu’nda gerçekleştirmelerinden bu yana, ortak para birimine ilişkin müşterek sorumluluk alanlarındaki konuları görüşmek üzere, AB Ekonomik ve Mali İşler Konseyi toplantısından önce düzenli olarak buluşmaya devam etmişlerdir. Ekonomi politikalarının koordinasyonuna ilişkin resmi karar alma süreci, AB Ekonomik ve Mali İşler Konseyi’nde gerçekleşmektedir. Önceleri Avro Grubu, AB Konseyi Dönem Başkanlığını elinde bulunduran ülkenin maliye bakanının başkanlığında toplanmaktaydı. Eğer Dönem Başkanlığı Avro Alanı dışında bir Üye Devlet tarafından üstleniliyorsa, Avro Grubu toplantısına Dönem Başkanlığını bir sonra devralacak Avro Alanı üyesi ülkenin maliye bakanı başkanlık etmekteydi. Ancak 2004 yılında Avro Alanı maliye bakanları, görev süresi iki yıl olarak belirlenen ve yenilenebilen bir Avro Grubu Başkanı seçmeye karar vermişlerdir. Lizbon Antlaşması’nın 14’üncü Protokolü’nde de yer alan bu karar, 1 Aralık 2009 tarihinde Lizbon Antlaşması’nın yürürlüğe girmesiyle resmiyet kazanmıştır.</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Avrupa 2020 Stratejisi</w:t>
      </w:r>
    </w:p>
    <w:p w:rsidR="008F0085" w:rsidRPr="00DA3794" w:rsidRDefault="008F0085" w:rsidP="008F0085">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Europe 2020 Strategy</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Ekonomik ve mali kriz sonrasında AB’yi daha güçlü bir konuma getirmeyi amaçlayan Strateji ile krizin üstesinden gelinmesinin ötesinde, AB’nin büyüme modelindeki eksikliklerin giderilmesi ve AB’de daha akıllı, sürdürülebilir ve kapsayıcı büyüme için gerekli koşulların sağlanması amaçlanmaktadır.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2009 yılında, küresel ekonomik ve mali krizin etkisiyle AB’nin GSYİH’sinin yüzde 4 oranında azalması, endüstriyel üretiminin 1990’lı yıllar seviyesine gerilemesi ve AB genelinde 23 milyon kişinin işsiz kalmasıyla, yapısal eksiklikleri ortaya çıkmıştır. AB’nin on yıllık büyüme stratejisi olan Lizbon Stratejisi’nin yerini alan Avrupa 2020 Stratejisi, 3 Mart 2010 tarihinde Avrupa Komisyonu tarafından, 17 Haziran 2010 tarihinde ise AB Konseyi tarafından kabul edilmiştir.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2020 Stratejisinin üç önceliği bulunmaktadır: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 Akıllı büyüme: Bilgi ve yenilikçiliğe dayalı bir ekonominin geliştirilmesi,</w:t>
      </w:r>
      <w:r w:rsidRPr="00DA3794">
        <w:rPr>
          <w:rFonts w:ascii="Times New Roman" w:eastAsia="Times New Roman" w:hAnsi="Times New Roman" w:cs="Times New Roman"/>
          <w:color w:val="333333"/>
          <w:sz w:val="28"/>
          <w:szCs w:val="28"/>
          <w:lang w:eastAsia="tr-TR"/>
        </w:rPr>
        <w:br/>
        <w:t> - Sürdürülebilir büyüme: Kaynakların daha etkin kullanıldığı, daha çevre dostu ve rekabet gücü yüksek bir ekonominin teşvik edilmesi,</w:t>
      </w:r>
      <w:r w:rsidRPr="00DA3794">
        <w:rPr>
          <w:rFonts w:ascii="Times New Roman" w:eastAsia="Times New Roman" w:hAnsi="Times New Roman" w:cs="Times New Roman"/>
          <w:color w:val="333333"/>
          <w:sz w:val="28"/>
          <w:szCs w:val="28"/>
          <w:lang w:eastAsia="tr-TR"/>
        </w:rPr>
        <w:br/>
        <w:t> - Kapsayıcı büyüme: Ekonomik, sosyal ve bölgesel uyumun ön plana çıktığı, istihdamın yüksek olduğu bir ekonominin teşvik edilmesi.</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Bu temel öncelikler ışığında belirlenen beş öncelikli alan ve AB’nin bu alanlarda 2020 yılına kadar yerine getirmesi gereken hedefler ise şu şekildedir:</w:t>
      </w:r>
    </w:p>
    <w:p w:rsid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 İstihdam: AB genelinde 20-64 yaş aralığındaki nüfusun istihdam oranının yüzde 69’da</w:t>
      </w:r>
      <w:r w:rsidR="00DA3794">
        <w:rPr>
          <w:rFonts w:ascii="Times New Roman" w:eastAsia="Times New Roman" w:hAnsi="Times New Roman" w:cs="Times New Roman"/>
          <w:color w:val="333333"/>
          <w:sz w:val="28"/>
          <w:szCs w:val="28"/>
          <w:lang w:eastAsia="tr-TR"/>
        </w:rPr>
        <w:t>n en az yüzde 75’e çıkarılması,</w:t>
      </w:r>
    </w:p>
    <w:p w:rsid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 Ar-Ge: AB GSYİH’sinin yüzde 3’ünün Ar-Ge çalışmalarına ayrılmasının sağlanması,</w:t>
      </w:r>
      <w:r w:rsidRPr="00DA3794">
        <w:rPr>
          <w:rFonts w:ascii="Times New Roman" w:eastAsia="Times New Roman" w:hAnsi="Times New Roman" w:cs="Times New Roman"/>
          <w:color w:val="333333"/>
          <w:sz w:val="28"/>
          <w:szCs w:val="28"/>
          <w:lang w:eastAsia="tr-TR"/>
        </w:rPr>
        <w:br/>
        <w:t>İklim değişikliği ve enerji sürdürülebilirliği: Sera gazı salınımlarının 1990 yılına kıyasla en az yüzde 20 oranında; koşullar elverişli ise yüzde 30 oranında azaltılması, AB’nin enerji ihtiyacının yüzde 20’sinin yenilenebilir enerji kaynaklarından elde edilmesi ve enerji verimliliğinin</w:t>
      </w:r>
      <w:r w:rsidR="00DA3794">
        <w:rPr>
          <w:rFonts w:ascii="Times New Roman" w:eastAsia="Times New Roman" w:hAnsi="Times New Roman" w:cs="Times New Roman"/>
          <w:color w:val="333333"/>
          <w:sz w:val="28"/>
          <w:szCs w:val="28"/>
          <w:lang w:eastAsia="tr-TR"/>
        </w:rPr>
        <w:t xml:space="preserve"> yüzde 20 oranında artırılması,</w:t>
      </w:r>
    </w:p>
    <w:p w:rsid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 Eğitim: AB genelinde okulu erken terk edenlerin oranının yüzde 15’ten yüzde 10’un altına indirilmesi ve 30-34 yaş grubu nüfusta yükseköğrenimini tamamlamış bireylerin oranının ise yüzde 31’den en az yüzde 40’a çıkarılması,</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 Yoksullukla ve sosyal ayrımcılıkla mücadele: AB genelinde yoksulluk ve sosyal ayrımcılıkla mücadele eden veya yoksulluk ve sosyal ayrımcılık tehdidiyle karşı karşıya olan bireylerin oranının en az yüzde 25 oranında azaltılması.</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2020 Stratejisi kapsamında, üç öncelik alanında belirlenen yedi temel girişim ise şu şekildedir: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 Yenilikçi fikirlerin istihdam ve büyümeye dönüştürülebilmesi için araştırma ve yenilikçilik alanında finansman kaynaklarına erişim şartlarının iyileştirilmesini amaçlayan “Yenilikçilik Birliği”,</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 Eğitim sistemlerinin iyileştirilmesini ve gençlerin iş gücü piyasasına katılımını kolaylaştırmayı amaçlayan “Hareket Halindeki Gençlik”,</w:t>
      </w:r>
    </w:p>
    <w:p w:rsid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 Yüksek hızda İnternet hizmetinin yaygınlaştırılması ve hane halkları ile şirketlerin dijital tek pazardan yararlanmasını sağlamayı amaçlayan</w:t>
      </w:r>
      <w:r w:rsidR="00DA3794">
        <w:rPr>
          <w:rFonts w:ascii="Times New Roman" w:eastAsia="Times New Roman" w:hAnsi="Times New Roman" w:cs="Times New Roman"/>
          <w:color w:val="333333"/>
          <w:sz w:val="28"/>
          <w:szCs w:val="28"/>
          <w:lang w:eastAsia="tr-TR"/>
        </w:rPr>
        <w:t xml:space="preserve"> “Avrupa için Dijital Gündem”,</w:t>
      </w:r>
    </w:p>
    <w:p w:rsid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xml:space="preserve"> - Düşük karbon üreten bir ekonomiye geçişi desteklemeyi, yenilenebilir enerji kaynaklarının kullanımını, taşımacılık sektörünü modernize etmeyi ve enerji verimliliğini teşvik etmeyi amaçlayan “Kayna</w:t>
      </w:r>
      <w:r w:rsidR="00DA3794">
        <w:rPr>
          <w:rFonts w:ascii="Times New Roman" w:eastAsia="Times New Roman" w:hAnsi="Times New Roman" w:cs="Times New Roman"/>
          <w:color w:val="333333"/>
          <w:sz w:val="28"/>
          <w:szCs w:val="28"/>
          <w:lang w:eastAsia="tr-TR"/>
        </w:rPr>
        <w:t>kları Verimli Kullanan Avrupa”,</w:t>
      </w:r>
    </w:p>
    <w:p w:rsid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 Özellikle KOBİ’ler için iş ortamının iyileştirilmesini ve küresel alanda rekabet edebilecek güçlü ve sürdürülebilir bir sanayi tabanı oluşturulması için “Küreselleşme</w:t>
      </w:r>
      <w:r w:rsidR="00DA3794">
        <w:rPr>
          <w:rFonts w:ascii="Times New Roman" w:eastAsia="Times New Roman" w:hAnsi="Times New Roman" w:cs="Times New Roman"/>
          <w:color w:val="333333"/>
          <w:sz w:val="28"/>
          <w:szCs w:val="28"/>
          <w:lang w:eastAsia="tr-TR"/>
        </w:rPr>
        <w:t xml:space="preserve"> Çağı için Sanayi Politikası”,</w:t>
      </w:r>
    </w:p>
    <w:p w:rsid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İstihdam piyasalarının modernize edilmesi ve bireylerin becerilerini geliştirmelerine destek verilmesi yoluyla istihdam piyasasına katılımlarının artırılması ve iş gücü hareketliğinin kolaylaştırılması yoluyla iş gücü arz ve talebi arasında denge- nin kurulmasını amaçlayan “Yeni Be</w:t>
      </w:r>
      <w:r w:rsidR="00DA3794">
        <w:rPr>
          <w:rFonts w:ascii="Times New Roman" w:eastAsia="Times New Roman" w:hAnsi="Times New Roman" w:cs="Times New Roman"/>
          <w:color w:val="333333"/>
          <w:sz w:val="28"/>
          <w:szCs w:val="28"/>
          <w:lang w:eastAsia="tr-TR"/>
        </w:rPr>
        <w:t>ceriler ve İşler için Gündem”;</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Yoksullukla ve sosyal dışlanmayla karşı karşıya olan bireylerin toplumda aktif bir şekilde yer almasını ve sosyal ve bölgesel uyumun sağlanmasını amaçlayan “Yoksulluğa Karşı Avrupa Platformu”.</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Avrupa Bankacılık Denetleme Kurumları Komitesi</w:t>
      </w:r>
    </w:p>
    <w:p w:rsidR="008F0085" w:rsidRPr="00DA3794" w:rsidRDefault="008F0085" w:rsidP="008F0085">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Committee of European Banking Supervisions</w:t>
      </w:r>
    </w:p>
    <w:p w:rsidR="008F0085" w:rsidRPr="00DA3794" w:rsidRDefault="008F0085" w:rsidP="008F0085">
      <w:pPr>
        <w:spacing w:before="150"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Bkz. Avrupa Bankacılık Otoritesi.</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Avrupa Bankacılık Otoritesi</w:t>
      </w:r>
    </w:p>
    <w:p w:rsidR="008F0085" w:rsidRPr="00DA3794" w:rsidRDefault="008F0085" w:rsidP="008F0085">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European Banking Authority (EBA)</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 Ocak 2011 tarihinde faaliyete geçen Avrupa Bankacılık Kurumu, Avrupa Bankacılık Denetleme Kurumları Komitesi’nin görevlerini devralmıştır. Avrupa Bankacılık Kurumu, AB kurumları ve kamu değerlerini gözeten ulusal kurumlar arasında bir merkez olarak, bağlantı kurma ve onların sözcülüğünü yapma rollerini üstlenmiştir. Söz konusu ulusal kurumlar, finansal sistemin istikrarı, piyasaların ve finansal ürünlerin şeffaflığının yanı sıra yatırımcılar ile mudilerin korunması gibi kamu değerlerini gözeten kurumlardır.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Bankacılık Kurumu, önleyici, düzenleyici arbitraj, uluslararası denetimin koordinasyonu, denetimde yakınsamanın geliştirilmesi ve AB kurumlarına bankacılık, ödemeler ve elektronik paraya ilişkin düzenlemelerin yanı sıra kurumsal yönetim, denetim ve finansal raporlama gibi geniş bir görev alanına sahiptir.</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Avrupa Ekonomik Kurtarma Planı</w:t>
      </w:r>
    </w:p>
    <w:p w:rsidR="008F0085" w:rsidRPr="00DA3794" w:rsidRDefault="008F0085" w:rsidP="008F0085">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European Economic Recovery Plan</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Mali ve ekonomik krize karşı ulusal önlemlerden oluşan koordineli ve kapsamlı bir eylem planıdır. Avrupa Komisyonu tarafından ekonomik kriz ile mücadele etmek amacıyla, 26 Kasım 2008’de sunulmuştur. Ekonomiyi canlandırmaya yönelik, AB GSYİH’sinin yüzde 1,5’ine tekabül eden, yaklaşık 200 milyar avroluk bir plandır.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Planı hazırlayan Avrupa Komisyonu, Avrupa ekonomisini yeniden yoluna koyabilmek için Üye Devletler arasında vakit kaybetmeden bir anlaşma sağlamak istemiştir. Plan, 11-12 Aralık 2008 tarihli AB Konseyi’ne sunulmuş ve kabul edilmiştir. AB’de tüketici ve iş dünyasının güvenini yeniden sağlamak; altyapı, otomobil, inşaat, yeşil teknolojiler gibi anahtar sektörler başta olmak üzere yatırımları canlandırmak; kredi akışını döndürmek; istihdam yaratmak ve işsizlik ile mücadele etmek hedeflerini içermiştir. Plan, Üye Devletlerin ulusal bütçe teşvik ve ekonomiyi canlandırma paketlerinin etkisini en üst düzeye taşımak amacıyla, AB düzeyinde koordinasyonu sağlamıştır. Büyüme, istihdam ve yatırımları canlandırmak için ulusal önlemler ile AB kaynakları ve önlemlerinin birbirini desteklemesi öngörülmüştür. Mali canlandırma paketlerinin hedef odaklı, geçici ve koordineli olmasının yanında, çeşitli ulusal gelir ve sarf araçlarını bir arada kullanması ve yapısal reformlar ile birlikte uygulanması hedeflenmiştir. Avrupa Yatırım Bankası’nın Planı izleyen iki yıl boyunca sağlayacağı finansmanın 15 milyar avro tutarında artırılması ve ulusal ticari bankaların da yatırımları desteklemeye devam etmesi tavsiye edilmiştir.</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Avrupa Finansal İstikrar Fonu</w:t>
      </w:r>
    </w:p>
    <w:p w:rsidR="008F0085" w:rsidRPr="00DA3794" w:rsidRDefault="008F0085" w:rsidP="008F0085">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European Financial Stability Facility (EFSF)</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Finansal İstikrar Fonu, 2008 yılında küresel finansal krize karşı alınan önlemler kapsamında kurulmuştur. Avro Alanı’nın Üye Devletleri’nin mali açıdan sorunlar yaşamalarının AB’nin finansal istikrarına yönelik tehdit oluşturabileceği düşüncesiyle, Avrupa Finansal İstikrar Fonu’nun kurulması yönünde karar alınmıştır. Avrupa Finansal İstikrar Fonu’nun amacı, finansal zorluklar yaşayan Avro Alanı Üye Devletlerine geçici mali destek sağlayarak, Avrupa Ekonomik ve Parasal Birliği’nin finansal istikrarını korumaktır.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9 Mayıs 2010 tarihli AB Ekonomi ve Maliye Bakanları Konseyi (ECOFIN) kararı uyarınca, Avrupa Finansal İstikrar Fonu, 7 Haziran 2010 tarihinde Lüksemburg şehrinde limited şirket olarak kurulmuştur.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Finansal İstikrar Fonu, finansal piyasada tahviller sürerek Üye Devletlere mali yardım sağlamaktadır. Buna ilaveten, Avrupa Finansal İstikrar Fonu’nun diğer işlevleri arasında, hisse senetlerine birincil ve ikincil piyasalarda müdahale etmesi, ihtiyati programlar kapsamında devreye girmesi ve finansal kurumların sermayelerini artırmak amacıyla hükümetlere borç vermesi yer almaktadır.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Finansal İstikrar Fonu, 440 milyar avroluk geçici kurtarma fonu bulundurmaktadır. Söz konusu kurtarma fonu Üye Devletlerin garantisi altına alınmıştır. Ayrıca IMF de Avrupa Finansal İstikrar Fonu’na finansal destek sağlamaktadır.</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Avrupa Finansal İstikrar Mekanizması</w:t>
      </w:r>
    </w:p>
    <w:p w:rsidR="008F0085" w:rsidRPr="00DA3794" w:rsidRDefault="008F0085" w:rsidP="008F0085">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European Financial Stabilisation Mechanism (EFSM)</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Finansal İstikrar Mekanizması, mali açıdan zorluklar yaşayan AB Üye Devletleri’ne finansal destek sağlamak amacıyla kurulmuştur. Avrupa Finansal İstikrar Mekanizması, ciddi finansal güçlükler yaşayan ya da bu alanda risk altında bulunan Üye Devletlerin yanı sıra kendi kontrolü dışında meydana gelen dış faktörler nedeniyle mali güçlükler yaşayan veya risk altında bulunan Üye Devletlere de mali yardım sağlamaktadır.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Finansal İstikrar Mekanizması, 9 Mayıs 2010 tarihli ve 407/2010 Sayılı Konsey Tüzüğü ile kurulmuştur. Kurulan mekanizmanın yasal zemini ise AB’nin İşleyişi Hakkında Antlaşma’nın 122(2)’nci Maddesi’ne dayanmaktadır.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Finansal İstikrar Mekanizması’nın kapsamında, Avrupa Komisyonu, toplam 60 milyar avroya kadar AB adına finansal piyasalardan kredi temin etme hakkına sahiptir. Avrupa Komisyonu’nun finansal piyasalardan aldığı bu krediler ile yararlanıcı Üye Devletlere borç verilmektedir. Bu yöntemle kamu borçlarına faiz uygulanmamaktadır. Tüm faizler ve anapara Avrupa Komisyonu aracıyla faydalanan Üye Devlet tarafından ödenmektedir. Kredilerin geri ödenmesi, AB büt- çesi tarafından garanti altına alınmıştır. Avrupa Finansal İstikrar Mekanizması’nın AB adına piyasaya sürdüğü tahvillere, kredi derecelendirme kuruluşları tarafından “AAA” kredi notu verilmektedir. Bu kredilerden faydalanmak için mali açıdan zorluklar yaşayan Üye Devletin yardım talebinde bulunması gerekmektedir. Krediden faydalanacak Üye Devletin ayrıca sıkı bir ekonomik ve mali uyum programı takip etmesi gerekmektedir.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Finansal İstikrar Mekanizması, 2011 ve 2013 yılları arası toplam 48,5 milyar avro tutarında mali destek sağlamıştır. Bu çerçevede İrlanda’ya 22,5 milyar avro, Portekiz’e 26 milyar avro finansal destek sağlanmıştır.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Finansal İstikrar Mekanizması, geçici bir mekanizmadır. 1 Temmuz 2013 itibariyle yerini, Avrupa İstikrar Mekanizması’na bırakmıştır.</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Avrupa Gölge Finansal Düzenleyici Komitesi</w:t>
      </w:r>
    </w:p>
    <w:p w:rsidR="008F0085" w:rsidRPr="00DA3794" w:rsidRDefault="008F0085" w:rsidP="008F0085">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European Shadow Financial Regulatory Committee</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ABD’de yer alan Gölge Finansal Düzenleyici Komitesi’nden esinlenip, Avrupa’daki 15 akademisyenin ve bankacılık, finans, finansal kurumlara ilişkin düzenlemeler alanında çalışan bağımsız uzmanın bir araya gelerek 1998 yılında oluşturduğu komitedir.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Hâlihazırda komitenin başında Rotterdam Üniversitesi’nden Prof. Harald Benink bulunmaktadır. Yılda üç defa toplanan komite, toplantılarında finansal sistemin ve piyasaların yasal çerçevesini incelemekte ve toplantılar sonrasında görüşlerini kamuoyuyla paylaşmaktadır. Bağımsız olan Komite, herhangi bir finansal kurum ve otoriteden mali destek kabul etmemektedir.</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Avrupa İlerleme Mikrofinansman Aracı</w:t>
      </w:r>
    </w:p>
    <w:p w:rsidR="008F0085" w:rsidRPr="00DA3794" w:rsidRDefault="008F0085" w:rsidP="008F0085">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European Progress Microfinance Facility</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AB’de girişimcileri desteklemek ve istihdam yaratmak amacıyla Mart 2010’da başlatılan Avrupa İlerleme Mikro Finansman Aracı ile küçük ölçekli şirketlerin kurulması ve/veya geliştirilmesi için mikro kredi imkânları sağlanmaktadır. Program kapsamında, küçük ölçekli şirket kurmak veya geliştirmek isteyen girişimcilere 25 bin avroya kadar kredi verilmektedir.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İlerleme Mikro Finansman Aracı’yla, AB’de mikro finansman sağlayan kurumlara teminat veya fon sağlanarak da girişimcilere finansman kaynakları temin edilmektedir. Programın kurulmasıyla, işlerini kaybeden veya kaybetme riski yüksek olanlar ya da iş gücü piyasasına (yeniden) girmekte zorlananlara, finansal kaynaklara daha kolay erişimlerinin sağlanması amaçlanmaktadır. Ayrıca programla, bankalarda kredi imkânlarına sınırlı erişimi olan dezavantajlı kesimler, sosyal dışlanma riski altındaki grupların yanı sıra kadın, genç, azınlık kökenli ve engelli girişimcilere destek verilmesi de amaçlanmaktadır.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Program, Avrupa Komisyonu ve Avrupa Yatırım Bankası’nın, 2010 ve 2013 yılları arasında sağladıkları 200 milyon avro değerindeki fon ile desteklenirken, Avrupa Yatırım Fonu tarafından yönetilmektedir.</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Avrupa İstikrar Mekanizması</w:t>
      </w:r>
    </w:p>
    <w:p w:rsidR="008F0085" w:rsidRPr="00DA3794" w:rsidRDefault="008F0085" w:rsidP="008F0085">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European Stability Mechanism (ESM)</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Avro Alanı için öngörülmüş, daimi bir kriz çözüm mekanizmasıdır. Avro Alanı’nda mali istikrarın sağlanması amacıyla tasarlanan kapsamlı AB stratejisinin bir parçası olan söz konusu mekanizma, borç sorunu yaşayan ya da yaşama riski bulunan Avro Alanı ülkelerine mali destek sağlamak amacıyla oluşturulmuş daimi bir kurtarma fonudur. Avrupa İstikrar Mekanizması’nın kurulması kararı, Aralık 2010’da gerçekleştirilen AB Konseyi toplantısında alınmıştır. Avro Alanı ülkelerinin 2 Şubat 2012 tarihinde imzaladığı hükümetler arası antlaşma ile kurulan Avrupa İstikrar Mekanizması, 8 Ekim 2012 tarihinde faaliyete geçmiştir. Daha önce aynı amaçla kurulan ve işleyen Avrupa Finansal İstikrar Mekanizması’nın yerini almıştır.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İstikrar Mekanizması ve Avrupa Finansal İstikrar Mekanizması’nın, Haziran 2013’e kadar birlikte faaliyet göstermeleri öngörülmüştür. Daha sonra ise Avrupa İstikrar Mekanizması, Avro Alanı devletlerinin mali yardım taleplerine cevap verecek tek ve daimi mekanizma olacaktır. Avrupa İstikrar Mekanizması, kendi altındaki bütün yardım programları kapsamında verilen krediler ve Avrupa Finansal İstikrar Mekanizması tarafından sağlanan bütün finansman araçları geri ödenene kadar varlığını sürdürmeye devam edecektir. Avrupa İstikrar Mekanizması, finansman faaliyetlerini para piyasası araçlarının yanı sıra 30 yıla kadar orta ve uzun vadeli borçlanma araçları ihraç ederek yerine getirmektedir.</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Avrupa Kurtarma Fonu</w:t>
      </w:r>
    </w:p>
    <w:p w:rsidR="008F0085" w:rsidRPr="00DA3794" w:rsidRDefault="008F0085" w:rsidP="008F0085">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European Rescue Fund</w:t>
      </w:r>
    </w:p>
    <w:p w:rsidR="008F0085" w:rsidRPr="00DA3794" w:rsidRDefault="008F0085" w:rsidP="008F0085">
      <w:pPr>
        <w:spacing w:before="150"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Bkz. Avrupa İstikrar Mekanizması, Avrupa Finansal İstikrar Fonu ve Avrupa Finansal İstikrar Mekanizması.</w:t>
      </w:r>
    </w:p>
    <w:p w:rsidR="008F0085" w:rsidRPr="00DA3794" w:rsidRDefault="008F0085" w:rsidP="008F0085">
      <w:pPr>
        <w:spacing w:before="150"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Avrupa Küreselleşme Uyum Fonu</w:t>
      </w:r>
    </w:p>
    <w:p w:rsidR="008F0085" w:rsidRPr="00DA3794" w:rsidRDefault="008F0085" w:rsidP="008F0085">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European Globalisation Adjustment Fund</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 Ocak 2007’de yürürlüğe giren Avrupa Küreselleşme Uyum Fonu, değişen küresel ticari eğilimler sonucunda işini kaybeden bireylere en kısa zamanda yeni bir iş bulabilmeleri için destek vermeyi amaçlamaktadır. Avrupa Küreselleşme Uyum Fonu’na her yıl yaklaşık 500 milyon avro bütçe ayrılmaktadır. 2009 yılında AB’nin küresel ekonomik ve mali krizle mücadele etme çabaları doğrultusunda, Avrupa Küreselleşme Uyum Fonu’nun kapsamı değiştirilmiş ve 1 Mayıs 2009 ile 30 Aralık 2011 tarihleri arasında küresel mali ve ekonomik kriz nedeniyle işten çıkarılanlara öncelik verilerek, Avrupa Küreselleşme Uyum Fonu’nun dayanışma boyutu güçlendirilmiştir.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Küreselleşme Uyum Fonu, iş arama yardımı, kariyer danışmanlığı, özel eğitim, danışmanlık ve girişimciliğin teşvik edilmesi gibi önlemlerin finansmanı için kullanılmaktadır. Ayrıca Avrupa Küreselleşme Uyum Fonu kapsamında, işten çıkarılanlar için iş arama, hareketlilik ve hayat boyu öğrenme ile eğitim faaliyetlerine katılım için ödenek gibi bir kereye mahsus ve kısa süreli bireysel destek verilmektedir. Avrupa Küreselleşme Uyum Fonu, emeklilik ve işsizlik yardımı gibi Üye Devletlerin sorumluluğunda bulunan sosyal yardımların finanse edilmesi için kullanılmamaktadır.</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Avrupa Menkul Kıymetler ve Piyasalar Otoritesi</w:t>
      </w:r>
    </w:p>
    <w:p w:rsidR="008F0085" w:rsidRPr="00DA3794" w:rsidRDefault="008F0085" w:rsidP="008F0085">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European Securities and Markets Authority (ESMA)</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Menkul kıymetler piyasalarının güvenilirliğini, şeffaflığını, etkin ve düzenli işleyişini ve yatırımcıların korunmasını sağlayarak, AB’de finansal istikrara katkıda bulunan bağımsız bir otoritedir. 24 Kasım 2010 tarihli 1095/2010 Sayılı Tüzük ile kurulmuş ve 1 Ocak 2011’de faaliyete başlamıştır. Diğer denetim otoriteleri (Avrupa Bankacılık Otoritesi ve Avrupa Sigortacılık ve Emeklilik Otoritesi) ile birlikte finansal sektörler ve menkul kıymet düzenleyicileri arasında uyumlu bir denetim çerçevesi oluşturulmasını ve menkul kıymetler konusunda yasal kuralların Avrupa genelinde uyumlaştırılmasını destekler. Avrupa Menkul Kıymetler ve Piyasalar Otoritesi, bu şekilde yatırımcıların AB genelinde eşit bir koruma düzeyi ve tutarlı muameleye tabi olmasına, finansal hizmet sağlayıcıları için eşit rekabet koşullarının geçerli olmasına ve şirketlerin denetiminin etkin ve maliyet açısından etkili bir şekilde yapılmasına katkıda bulunur. Bunun yanında, Avrupa Sistemik Risk Kurulu’nun çalışmalarına yardımcı olarak, AB’nin finansal istikrarını destekler ve kriz durumunda acil önlem alarak veya menkul kıymet denetçilerinin eylemlerini koordine ederek önemli bir rol oynar.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Menkul Kıymetler ve Piyasalar Otoritesi bağımsızdır ancak Avrupa Parlamentosu başta olmak üzere, AB Bakanlar Konseyi ve Avrupa Komisyonu’na hesap verir. Avrupa Menkul Kıymetler ve Piyasalar Otoritesi, Komisyon tarafından hazırlanan mevzuat tasarılarının oluşturulmasında, Avrupa Finansal Denetim Sistemi içinde tutarlı ve etkili denetim uygulamaları için rehber ilkeler ve tavsiyeler belirlenmesinde rol oynamaktadır. Söz konusu tavsiye ve rehber ilkeler bağlayıcı değildir ancak yetkili makamların bunlara uyum sağlamak için çaba göstermesi ve eğer uyamayacaklarsa bunun nedenini bildirmeleri gerekmektedir. Otorite, ulusal bir yetkili otorite, AP, Konsey, Komisyon veya bir paydaş grubunun talebi üzerine veya kendi inisiyatifi ile soruşturma açabilmekte ve bunun sonucunda ilgili ulusal otoriteye tavsiyede bulunabilmektedir. Avrupa Menkul Kıymetler ve Piyasalar Otoritesi, daimi komiteleri ve ağları yoluyla açık ve şeffaf bir şekilde çalışmalarını yürütmekte, piyasa katılımcıları, tüketiciler ve nihai kullanıcılar ile kapsamlı danışma içerisinde çalışmaktadır.</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Avrupa Merkez Bankası</w:t>
      </w:r>
    </w:p>
    <w:p w:rsidR="008F0085" w:rsidRPr="00DA3794" w:rsidRDefault="008F0085" w:rsidP="008F0085">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European Central Bank (ECB)</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 Haziran 1998 tarihinde kurulan ve genel merkezi Frankfurt’ta bulunan Avrupa Merkez Bankası’nın (AMB) temel görevi, avronun alım gücünü korumak ve fiyat istikrarını sağlamaktır. 1 Kasım 2011 tarihinden itibaren başkanlığını, İtalyan ekonomist Mario Draghi yapmaktadır.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AMB’nin görevleri şu şekildedir:</w:t>
      </w:r>
    </w:p>
    <w:p w:rsidR="008F0085" w:rsidRPr="00DA3794" w:rsidRDefault="008F0085" w:rsidP="008F0085">
      <w:pPr>
        <w:numPr>
          <w:ilvl w:val="0"/>
          <w:numId w:val="1"/>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Avro Alanı için faiz oranlarının belirlenmesi ve para arzının kontrolünün sağlanması,</w:t>
      </w:r>
    </w:p>
    <w:p w:rsidR="008F0085" w:rsidRPr="00DA3794" w:rsidRDefault="008F0085" w:rsidP="008F0085">
      <w:pPr>
        <w:numPr>
          <w:ilvl w:val="0"/>
          <w:numId w:val="1"/>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Avro Alanı’nın yabancı para birimi cinsinden rezervlerinin ve faiz oranlarının dengede tutulması için alım satım işlemlerinin yürütülmesi,</w:t>
      </w:r>
    </w:p>
    <w:p w:rsidR="008F0085" w:rsidRPr="00DA3794" w:rsidRDefault="008F0085" w:rsidP="008F0085">
      <w:pPr>
        <w:numPr>
          <w:ilvl w:val="0"/>
          <w:numId w:val="1"/>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Ödeme sisteminin iyi işlemesine destek olunması,</w:t>
      </w:r>
    </w:p>
    <w:p w:rsidR="008F0085" w:rsidRPr="00DA3794" w:rsidRDefault="008F0085" w:rsidP="008F0085">
      <w:pPr>
        <w:numPr>
          <w:ilvl w:val="0"/>
          <w:numId w:val="1"/>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Avro banknotlarının basımı için ulusal merkez bankalarına yetki verilmesi,</w:t>
      </w:r>
    </w:p>
    <w:p w:rsidR="008F0085" w:rsidRPr="00DA3794" w:rsidRDefault="008F0085" w:rsidP="008F0085">
      <w:pPr>
        <w:numPr>
          <w:ilvl w:val="0"/>
          <w:numId w:val="1"/>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Fiyat trendlerinin izlenmesi ve bunların fiyat istikrarına etkilerinin değerlendirilmesi.</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Avrupa Merkez Bankaları Sistemi</w:t>
      </w:r>
    </w:p>
    <w:p w:rsidR="008F0085" w:rsidRPr="00DA3794" w:rsidRDefault="008F0085" w:rsidP="008F0085">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The European System of Central Banks (ESCB)</w:t>
      </w:r>
    </w:p>
    <w:p w:rsidR="008F0085" w:rsidRPr="00DA3794" w:rsidRDefault="008F0085" w:rsidP="008F0085">
      <w:pPr>
        <w:spacing w:before="150"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Merkez Bankası ile AB üye ülkelerinin ulusal merkez bankalarının bir araya gelerek oluşturduğu bir AB kurumudur. Avrupa Merkez Bankaları Sistemi’nin (AMBS) temel görevi, AB’nin para politikasının belirlenmesi ve yürütülmesidir.</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Avrupa Sigortacılık ve Emeklilik Otoritesi</w:t>
      </w:r>
    </w:p>
    <w:p w:rsidR="008F0085" w:rsidRPr="00DA3794" w:rsidRDefault="008F0085" w:rsidP="008F0085">
      <w:pPr>
        <w:spacing w:after="0" w:line="270" w:lineRule="atLeast"/>
        <w:ind w:left="137"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European Insurance and Occupational Pensions Authority (EIOPA)</w:t>
      </w:r>
    </w:p>
    <w:p w:rsidR="008F0085" w:rsidRPr="00DA3794" w:rsidRDefault="008F0085" w:rsidP="008F0085">
      <w:pPr>
        <w:spacing w:before="150" w:after="0" w:line="270" w:lineRule="atLeast"/>
        <w:ind w:left="137"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AB’nin Avrupa Finansal Denetim Sistemi’ni oluşturan denetleyici üç otoritesinden biri olan Avrupa Sigortacılık ve Emeklilik Otoritesi, Avrupa Parlamentosu ve AB Bakanlar Konseyi’ne danışmanlık yapan bağımsız bir istişare kuruluştur. 1094/2010 Sayılı Tüzük ile kurulmuş olup 2011 yılında çalışmalarına başlamıştır. Görevleri finansal sistemin istikrarını, piyasaların ve finansal ürünlerin şeffaf olmasını ve sigorta poliçesi sahipleri, emeklilik planı katılımcıları ve yararlanıcılarını desteklemektir.</w:t>
      </w:r>
    </w:p>
    <w:p w:rsidR="008F0085" w:rsidRPr="00DA3794" w:rsidRDefault="008F0085" w:rsidP="008F0085">
      <w:pPr>
        <w:spacing w:before="150" w:after="0" w:line="270" w:lineRule="atLeast"/>
        <w:ind w:left="137"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Mali ve ekonomik kriz sonrasında, entegre olmuş bir finansal denetim sistemine ihtiyaç hissedilmiş ve bu doğrultuda olası krizlerin risk ve etkilerini azaltmak üzere, AB genelinde denetim çerçevesi güçlendirilmiştir. Avrupa Sigortacılık ve Emeklilik Otoritesi, Avrupa Finansal Denetçiler Sistemi’nin bir üyesi olup, amaçları şu şekilde sıralanmaktadır:</w:t>
      </w:r>
    </w:p>
    <w:p w:rsidR="008F0085" w:rsidRPr="00DA3794" w:rsidRDefault="008F0085" w:rsidP="008F0085">
      <w:pPr>
        <w:numPr>
          <w:ilvl w:val="0"/>
          <w:numId w:val="2"/>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Tüketicileri korumak ve finansal sisteme güveni sağlamak,</w:t>
      </w:r>
    </w:p>
    <w:p w:rsidR="008F0085" w:rsidRPr="00DA3794" w:rsidRDefault="008F0085" w:rsidP="008F0085">
      <w:pPr>
        <w:numPr>
          <w:ilvl w:val="0"/>
          <w:numId w:val="2"/>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Yüksek, etkin ve tutarlı bir regülasyon ve denetim düzeyi sağlamak,</w:t>
      </w:r>
    </w:p>
    <w:p w:rsidR="008F0085" w:rsidRPr="00DA3794" w:rsidRDefault="008F0085" w:rsidP="008F0085">
      <w:pPr>
        <w:numPr>
          <w:ilvl w:val="0"/>
          <w:numId w:val="2"/>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AB’de finansal kurum ve piyasalar için kuralların uyumlaştırılması ve uyumlu bir şekilde uygulanmasına katkıda bulun- mak,</w:t>
      </w:r>
    </w:p>
    <w:p w:rsidR="008F0085" w:rsidRPr="00DA3794" w:rsidRDefault="008F0085" w:rsidP="008F0085">
      <w:pPr>
        <w:numPr>
          <w:ilvl w:val="0"/>
          <w:numId w:val="2"/>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Sınır ötesi grupların gözetimini güçlendirmek,</w:t>
      </w:r>
    </w:p>
    <w:p w:rsidR="008F0085" w:rsidRPr="00DA3794" w:rsidRDefault="008F0085" w:rsidP="008F0085">
      <w:pPr>
        <w:numPr>
          <w:ilvl w:val="0"/>
          <w:numId w:val="2"/>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AB’nin denetim için aldığı önlemlerin koordine edilmesine yardımcı olmak.</w:t>
      </w:r>
    </w:p>
    <w:p w:rsidR="008F0085" w:rsidRPr="00DA3794" w:rsidRDefault="008F0085" w:rsidP="008F0085">
      <w:pPr>
        <w:spacing w:before="150" w:after="0" w:line="270" w:lineRule="atLeast"/>
        <w:ind w:left="117"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Sigortacılık ve Emeklilik Otoritesi’nin merkezi Almanya, Frankfurt’tadır. Başlıca karar organı Denetçiler Kurulu olup, diğer organları Yürütme Kurulu, Temyiz Kurulu, paydaş grupları ve Gözden Geçirme Paneli’dir.</w:t>
      </w:r>
    </w:p>
    <w:p w:rsidR="008F0085" w:rsidRPr="00DA3794" w:rsidRDefault="008F0085" w:rsidP="008F0085">
      <w:pPr>
        <w:spacing w:before="150"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Avrupa Sistemik Riskler Kurulu</w:t>
      </w:r>
    </w:p>
    <w:p w:rsidR="008F0085" w:rsidRPr="00DA3794" w:rsidRDefault="008F0085" w:rsidP="008F0085">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European Systemic Risk Board</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Komisyonu tarafından, vatandaşları korumak ve finansal sisteme olan güvenin yeniden tesisini sağlamak amacı ve Avrupa’daki denetim düzenlemelerinin nasıl güçlendirileceğini araştırmak üzere, başkanlığını Jacques de Larosière’in yaptığı Yüksek Düzey Grubu görevlendirmiştir. Kamuoyunda Larosière Grubu olarak bilinen bu Yüksek Düzey Grubu, 2009 yılındaki raporunda sadece şirketlerin değil Birlik düzeyinde mali sistemin istikrarının izlenmesi için bir yapı oluşturulmasını önermiştir. Bu tavsiyeden hareketle, 16 Aralık 2010 tarihli ve 1092/2010 Sayılı Tüzük ile Avrupa Sistemik Risk Kurulu oluşturulmuştur. Kurulun asli görevi, Birlik içerisindeki finansal sistemin makro gözetimidir. Finansal istikrarı etkileyecek sistemik risklerin azaltılması ya da önlenmesine katkıda bulunmakla görevlendirilen Avrupa Sistemik Risk Kurulu, aynı zamanda iç pazarın iyi işleyişini ve böylece finansal sektörün ekonomik büyümeye sürdürülebilir katkısını sağlamayı amaçlamaktadır.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Bu çerçevede Avrupa Sistemik Risk Kurulu için belirlenen görevler şu şekildedir:</w:t>
      </w:r>
    </w:p>
    <w:p w:rsidR="008F0085" w:rsidRPr="00DA3794" w:rsidRDefault="008F0085" w:rsidP="008F0085">
      <w:pPr>
        <w:numPr>
          <w:ilvl w:val="0"/>
          <w:numId w:val="3"/>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İlgili ve gerekli tüm bilgilerin belirlenmesi, toplanması ve analizi,</w:t>
      </w:r>
    </w:p>
    <w:p w:rsidR="008F0085" w:rsidRPr="00DA3794" w:rsidRDefault="008F0085" w:rsidP="008F0085">
      <w:pPr>
        <w:numPr>
          <w:ilvl w:val="0"/>
          <w:numId w:val="3"/>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Sismik risklerin belirlenmesi ve önceliklendirilmesi,</w:t>
      </w:r>
    </w:p>
    <w:p w:rsidR="008F0085" w:rsidRPr="00DA3794" w:rsidRDefault="008F0085" w:rsidP="008F0085">
      <w:pPr>
        <w:numPr>
          <w:ilvl w:val="0"/>
          <w:numId w:val="3"/>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Sismik risklerin önemli olması durumunda uyarıda bulunulması, uygun durumlarda bu uyarının kamuya açıklanması,</w:t>
      </w:r>
    </w:p>
    <w:p w:rsidR="008F0085" w:rsidRPr="00DA3794" w:rsidRDefault="008F0085" w:rsidP="008F0085">
      <w:pPr>
        <w:numPr>
          <w:ilvl w:val="0"/>
          <w:numId w:val="3"/>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Belirlenen riskler için çare olacak tavsiyelerin hazırlanması,</w:t>
      </w:r>
    </w:p>
    <w:p w:rsidR="008F0085" w:rsidRPr="00DA3794" w:rsidRDefault="008F0085" w:rsidP="008F0085">
      <w:pPr>
        <w:numPr>
          <w:ilvl w:val="0"/>
          <w:numId w:val="3"/>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Mali İzleme Sistemi’nin tüm taraflarıyla iş birliği içerisinde olunması,</w:t>
      </w:r>
    </w:p>
    <w:p w:rsidR="008F0085" w:rsidRPr="00DA3794" w:rsidRDefault="008F0085" w:rsidP="008F0085">
      <w:pPr>
        <w:numPr>
          <w:ilvl w:val="0"/>
          <w:numId w:val="3"/>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Uygun durumlarda Avrupa Denetim Otoriteleri’nin Ortak Komitesine katılınması,</w:t>
      </w:r>
    </w:p>
    <w:p w:rsidR="008F0085" w:rsidRPr="00DA3794" w:rsidRDefault="008F0085" w:rsidP="008F0085">
      <w:pPr>
        <w:numPr>
          <w:ilvl w:val="0"/>
          <w:numId w:val="3"/>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IMF gibi uluslararası finansal organizasyonlarla koordinasyonun sağlanması.</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Finansal İzleme Sistemi’nin bir parçası olan Avrupa Sistemik Risk Kurulu’nun kurumsal yapısına bakıldığında, kurumun faaliyetlerini yürütmesi için gerekli kararları alan bir Genel Kurul, karar alma sürecine destek olan bir İzleme Komitesi, bunların yanında destek sağlayan Bilimsel Danışma Kurulu ve Teknik Danışma Kurulu’ndan oluştuğu görülmektedir.</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Avrupa Sömestri</w:t>
      </w:r>
    </w:p>
    <w:p w:rsidR="008F0085" w:rsidRPr="00DA3794" w:rsidRDefault="008F0085" w:rsidP="008F0085">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European Semester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AB içinde, ekonomik ve mali politikaların koordinasyonu ile ilgili bir döngüdür. Her yılın başından itibaren altı aylık süre içinde gerçekleşir. Bu süreç içinde Üye Devletler, bütçe ve ekonomi politikalarını AB düzeyinde kabul edilmiş olan hedef ve kurallara uydurur. Sömestrin amacı, güçlü kamu maliyesi, ekonomik büyüme ve aşırı makroekonomik dengesizliklerin önlenmesidir. Yaşanan ekonomik kriz, daha güçlü bir ekonomik yönetişim ve Üye Devletlerin politikaları arasında eşgüdüm sağlanması ihtiyacını ortaya çıkarmıştır.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Sömestri, Avrupa 2020 Stratejisi altındaki büyüme ve istihdama odaklı yapısal reformlar ile İstikrar ve Büyüme Paktı kapsamındaki mali politikalar ve aşırı makroekonomik dengesizliklerin önlenmesine yönelik olarak, politika koordinasyonunu sağlamaktadır. Avrupa Sömestrinde, kesin bir zaman çizelgesi ekseninde Üye Devletler, AB düzeyinde oluşturulan tavsiyeler ve rehber ilkeleri alırlar ve bunlara göre politika planlarını, yani ulusal reform programları ve istikrar veya uyum programlarını AB düzeyinde değerlendirilmek üzere sunarlar. Değerlendirmeden sonra, ulusal bütçe ve reform politikaları ve gerekiyorsa makroekonomik dengesizliklerin düzeltilmesi için bir sonraki yılın bütçesi oluşturulurken dikkate alınmak üzere Üye Devletlere özel tavsiyeler oluşturulur. Bu aşamalar sonrasında, Temmuz ayı itibarıyla Üye Devletlerin uygulama sürecine geçilir ve yılın sonuna doğru Avrupa Komisyonu’nun gelecek yıl için hazırladığı ve genel ekonomik du- rumu anlatan Yıllık Büyüme Araştırması ile döngü yeniden başlar.</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Avrupa Tahvilleri / İstikrar Tahvilleri</w:t>
      </w:r>
    </w:p>
    <w:p w:rsidR="008F0085" w:rsidRPr="00DA3794" w:rsidRDefault="008F0085" w:rsidP="008F0085">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Eurobonds / Stabilitiy Bonds</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AB üye ülkelerinin borç sorunun çözümlenmesine destek sağlanması amacıyla, Avro Alanı’nda bütünleşmiş bir tahvil piyasası kurarak, üye devletlerin kamu borçlarının Avro Alanı çapında ihraç edilecek tahvillerle finansmanın sağlanması amacıyla çıkarılması öngörülen tahvillerdir. Bunun, aynı zamanda AB finans piyasalarında bütünleşme ve istikrarın artırılmasına katkı sağlayacağı düşünülmüştür. Bu tür tahvillerin ihracı, yatırımcılar ve finans kuruluşlarına güvenli ve likit yatırım imkânları sunularak, ülkelerin kamu borçlarını finanse etmelerinde yeni bir yol olarak öngörülmüştür. Ancak İstikrar tahvillerinin ihracı, Üye Devletlerde bütçe disiplini, sıkı ve yakından denetim kuralları ile Kurucu Antlaşmada değişiklik gerektirmektedir.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İstikrar Tahvilleri, tek bir merkez kaynaklı olmadan, Avro Alanı ülkelerinin her birinin farklı şekilde çıkardığı tahviller yerine ortak Avro tahvillerinin çıkarılması esasına dayanmaktadır. Bu şekilde, Üye Devletler arasında ortak bir havuzdan tahvillerin çıkarılması, gelirin ve borç servis maliyetinin ortak olarak paylaşılması öngörülmüştür. Ancak Avrupa Tahvilleri, Üye Devletler arasında tam uzlaşma sağlanamaması nedeniyle henüz gerçekleşmemiştir.</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Avrupa Yatırım Bankası</w:t>
      </w:r>
    </w:p>
    <w:p w:rsidR="008F0085" w:rsidRPr="00DA3794" w:rsidRDefault="008F0085" w:rsidP="008F0085">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European Investment Bank (EIB)</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AB Üye Devletlerince oluşturulan Avrupa Yatırım Bankası (AYB), 1958’de Roma Antlaşması ile kurulmuştur. Merkezi Lüksemburg’tadır; AB’nin mali kuruluşudur ve tüzel kişiliğe haizdir; ortak projelerin finansmanını sağlar. Banka, AB ve çevresinde büyüme, istihdam, ekonomik ve sosyal yakınsama, çevrenin sürdürülebilirliği konularındaki projelere finansman sağlamaktadır. Bu çerçevede öncelikleri şu şekilde belirlenmiştir:</w:t>
      </w:r>
    </w:p>
    <w:p w:rsidR="008F0085" w:rsidRPr="00DA3794" w:rsidRDefault="008F0085" w:rsidP="008F0085">
      <w:pPr>
        <w:numPr>
          <w:ilvl w:val="0"/>
          <w:numId w:val="4"/>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Yeni istihdam yaratılmasının desteklenmesi,</w:t>
      </w:r>
    </w:p>
    <w:p w:rsidR="008F0085" w:rsidRPr="00DA3794" w:rsidRDefault="008F0085" w:rsidP="008F0085">
      <w:pPr>
        <w:numPr>
          <w:ilvl w:val="0"/>
          <w:numId w:val="4"/>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Bölgeler arası ekonomik ve sosyal farklılıkların giderilmesi,</w:t>
      </w:r>
    </w:p>
    <w:p w:rsidR="008F0085" w:rsidRPr="00DA3794" w:rsidRDefault="008F0085" w:rsidP="008F0085">
      <w:pPr>
        <w:numPr>
          <w:ilvl w:val="0"/>
          <w:numId w:val="4"/>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Doğal ve kentsel çevrenin korunması ve geliştirilmesi,</w:t>
      </w:r>
    </w:p>
    <w:p w:rsidR="008F0085" w:rsidRPr="00DA3794" w:rsidRDefault="008F0085" w:rsidP="008F0085">
      <w:pPr>
        <w:numPr>
          <w:ilvl w:val="0"/>
          <w:numId w:val="4"/>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Bilgi ve İletişim Teknolojileri ile beşeri ve sosyal sermayeye yatırım yaparak yenilikçiliğin desteklenmesi,</w:t>
      </w:r>
    </w:p>
    <w:p w:rsidR="008F0085" w:rsidRPr="00DA3794" w:rsidRDefault="008F0085" w:rsidP="008F0085">
      <w:pPr>
        <w:numPr>
          <w:ilvl w:val="0"/>
          <w:numId w:val="4"/>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Bölgesel ve ulusal ulaştırma ve enerji altyapılarının birbirine bağlanması,</w:t>
      </w:r>
    </w:p>
    <w:p w:rsidR="008F0085" w:rsidRPr="00DA3794" w:rsidRDefault="008F0085" w:rsidP="008F0085">
      <w:pPr>
        <w:numPr>
          <w:ilvl w:val="0"/>
          <w:numId w:val="4"/>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Rekabetçi ve güvenli enerji arzının desteklenmesi.</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AYB, Guvernörler Kurulu, Yönetim Kurulu ve Yürütme Komitesi tarafından idare edilmekte, Denetim Komitesi tarafından faaliyetleri gözden geçirilip izlenmektedir.</w:t>
      </w:r>
    </w:p>
    <w:p w:rsidR="008F0085" w:rsidRPr="00DA3794" w:rsidRDefault="008F0085" w:rsidP="008F0085">
      <w:pPr>
        <w:spacing w:after="0" w:line="240" w:lineRule="auto"/>
        <w:outlineLvl w:val="0"/>
        <w:rPr>
          <w:rFonts w:ascii="Times New Roman" w:eastAsia="Times New Roman" w:hAnsi="Times New Roman" w:cs="Times New Roman"/>
          <w:b/>
          <w:bCs/>
          <w:color w:val="003F82"/>
          <w:kern w:val="36"/>
          <w:sz w:val="28"/>
          <w:szCs w:val="28"/>
          <w:lang w:eastAsia="tr-TR"/>
        </w:rPr>
      </w:pPr>
    </w:p>
    <w:p w:rsidR="008F0085" w:rsidRPr="00DA3794" w:rsidRDefault="008F0085" w:rsidP="008F0085">
      <w:pPr>
        <w:spacing w:after="0" w:line="240" w:lineRule="auto"/>
        <w:outlineLvl w:val="0"/>
        <w:rPr>
          <w:rFonts w:ascii="Times New Roman" w:eastAsia="Times New Roman" w:hAnsi="Times New Roman" w:cs="Times New Roman"/>
          <w:b/>
          <w:bCs/>
          <w:color w:val="003F82"/>
          <w:kern w:val="36"/>
          <w:sz w:val="28"/>
          <w:szCs w:val="28"/>
          <w:lang w:eastAsia="tr-TR"/>
        </w:rPr>
      </w:pPr>
    </w:p>
    <w:p w:rsidR="008F0085" w:rsidRPr="00DA3794" w:rsidRDefault="008F0085" w:rsidP="008F0085">
      <w:pPr>
        <w:spacing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B</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Bankacılık Birliği</w:t>
      </w:r>
    </w:p>
    <w:p w:rsidR="008F0085" w:rsidRPr="00DA3794" w:rsidRDefault="008F0085" w:rsidP="008F0085">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Banking Union</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Bankacılık Birliği, Ekonomik ve Parasal Birlik’in derinleştirilmesine yönelik olarak, AB bankaları için tek bir denetim mekanizması, ortak yasal düzenleme, banka hesapları için ortak koruma ve ortak kurtarma mekanizmaları öngören bir girişimdir.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12 Eylül 2012 tarihinde Avrupa Komisyonu, Avrupa Merkez Bankası liderliğinde, bankalar için tek bir denetim mekanizması tasarısını sunmuştur. Komisyon tasarısı iki tüzük ve bir tebliğden oluşmaktadır. Tüzükler ile Avro Alanı’ndaki tüm bankalar üzerinde, Avrupa Merkez Bankası ve ulusal denetim makamlarına kapsamlı yetkiler verilmesi suretiyle ortak bir denetim mekanizması oluşturulması, isteğe bağlı olarak Avro Alanı’nda olmayan Üye Devletlerin de bu mekanizmaya katılabilmesi ve Avrupa Bankacılık Otoritesi’nin yapısında Avro Alanı’nda olan ve olmayan Üye Devletler arasında bir denge oluşturacak şekilde değişikliler yapılması ve ortak bir yasal düzenleme çerçevesi oluşturulması öngörülmektedir. Tebliğ ise Komisyon’un Bankacılık Birliği ile ilgili vizyonunu tümüyle ortaya koymaktadır.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Ortak bir denetim mekanizmasının oluşturulmasının, Bankacılık Birliği’nde önemli bir adım olması beklenmektedir. Bunun, AB’deki tüm bankacılık sistemi için güven sağlamaya yönelik bir girişim olduğu belirtilmekte ve ileride bankacılık sisteminde doğacak zararların vergi veren halk tarafından karşılanmasının ve tüm ülkenin finansal istikrarını tehlikeye atmasının önüne geçilmesi hedeflenmektedir. Bankaların finansal denetiminde AMB’ye önemli bir yetki verilmekte ve AMB, kredi kurumlarının yetkilendirilmesi, sermaye, borcun öz sermayeye oranı ve likidite kurallarına uyum ve finansal şirket gruplarının denetimlerinin yapılması hususunda görevlendirilmektedir. AMB, bir banka düzenleyici sermaye kurallarını ihlal ettiğinde veya bu risk belirdiğinde müdahale edebilir ve bankadan durumu telafi edici önlemler almasını isteyebilir. AMB, denetim konusunda Avrupa Bankacılık Otoritesi ile iş birliği yapacaktır. Bankacılık Birliği sayesinde, Üye Devletler ile bankaları arasındaki bağın kesilmesi ve bu şekilde bankaların devletler tarafından kurtarılmalarına gerek kalmayacak bir ortamın oluşturulması, bankaların yeterli sermaye yapısına sahip olduğunun denetlenmesi, finansal sektörün itibarının sağlanması ve bankaların topluma ve reel ekonomiye hizmet etmesinin güvence altına alınması amaçlanmaktadır.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19 Mart 2013 tarihinde, Tek Denetim Mekanizması üzerinde AB Bakanlar Konseyi ve Avrupa Parlamentosu arasında uzlaşma sağlanmıştır. İlgili Tüzüklerin yürürlüğe girmesini takiben, bir yıl içinde Tek Denetim Mekanizması’nın işlerlik kazanması planlanmaktadır. Bu adımdan sonra, yukarıda sözü edilen banka mevduat garantisi, bankaların yeniden yapılandırılması ve kurtarılması gibi diğer unsurların da hayata geçirilmesi ile Bankacılık Birliği’nin tamamlanması öngörülmektedir.</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Basel Anlaşması</w:t>
      </w:r>
    </w:p>
    <w:p w:rsidR="008F0085" w:rsidRPr="00DA3794" w:rsidRDefault="008F0085" w:rsidP="008F0085">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Basel Agreement</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Gelişmiş ülkelerin Merkez Bankalarının bir araya gelerek oluşturdukları bir kuruluş olan Bank for International Settlements (BIS), 1974 yılında Basel Bankacılık Denetim Komitesi’ni oluşturmuştur. Basel Komitesi ilk olarak,1988 yılında bankaların denetimine yönelik, uymaları gereken çalışma kriterlerini ortaya koyan Basel Sermaye Uzlaşısı (Basel Capital Accord) adı verilen Basel I standartlarını yayımlamıştır. Bu şekilde, bankalar için sermaye yeterliliğine ilişkin bir çerçeve belirleyen Basel Komitesi, kredi riskine odaklanmıştır. Zamanla piyasaların gelişip karmaşıklaşması ile Basel I standartlarının yetersiz kalmaya başlaması nedeniyle, Basel I’ de ele alınan kredi riskinin yanı sıra piyasa riski ve operasyonel risk kavram- ları da dâhil edilerek, Basel I standartları revize edilmiş ve Basel II oluşturulmuştur. Haziran 2004’te, Basel II standartları olarak adlandırılan geliştirilmiş bankacılık risk yönetimi standartları yayınlanmıştır. Basel II, asgari sermaye yükümlülüğü, sermaye yeterliliğinin denetimi, piyasa disiplini olmak üzere birbirini destekleyen üç yapısal bloktan oluşmaktadır. Basel II standartları, AB’de Sermaye Yeterliliği Yönergesi ile uygulanmaktadır. Temmuz 2004’te Avrupa Komisyonu, Basel II’nin bütün bankalar ve yatırım şirketlerinde uygulanmasını sağlayacak yeni Sermaye Yeterliliği Yönergesini ortaya koymuştur. Basel II’ye ilişkin AB mevzuatı iki yönergeden oluşmaktadır:</w:t>
      </w:r>
    </w:p>
    <w:p w:rsidR="008F0085" w:rsidRPr="00DA3794" w:rsidRDefault="008F0085" w:rsidP="008F0085">
      <w:pPr>
        <w:numPr>
          <w:ilvl w:val="0"/>
          <w:numId w:val="5"/>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Kredi Kuruluşlarının İşe Başlama ve Faaliyetlerine İlişkin 2006/48/EC Sayılı Yönerge,</w:t>
      </w:r>
    </w:p>
    <w:p w:rsidR="008F0085" w:rsidRPr="00DA3794" w:rsidRDefault="008F0085" w:rsidP="008F0085">
      <w:pPr>
        <w:numPr>
          <w:ilvl w:val="0"/>
          <w:numId w:val="5"/>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Yatırım Şirketleri ve Kredi Kuruluşlarının Sermaye Yeterliliğine İlişkin 2006/49/EC Sayılı Yönerge.</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Söz konusu yönergeler, AB’de bankalar ve sermaye şirketlerinin finansal yapılarının güçlü olmasını amaçlamakta, riskleri karşılamaları ve müşterilerini korumaları için bulundurmaları gereken öz sermaye oranını belirlemektedir.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Küresel finansal krizin ardından, bankacılık sektöründeki risk yönetimi, denetimi ve finansal düzenlemelerin sağlamlaştırılması amacıyla, Basel Bankacılık Denetim Komitesi tarafından Basel standartlarının geliştirilerek kapsamlı reform tedbirleri alınması öngörülmüştür. 2010-2011 yıllarında sermaye yeterliliği, stres testleri ve piyasa likidite risklerine ilişkin yeni düzenlemeler getirilerek Basel III yayımlanmıştır. Yeni düzenlemeler, gözlemlenen eksiklikleri tamamlayan bir ek düzenlemeler seti niteliğindedir. Asgari sermayenin nicelik olarak artırılması, niteliğinde değişiklikler yapılması ve mevcut uygulamaya ilaveten risk bazlı olmayan muhasebe bazlı bir asgari sermaye gerekliliği standardının getirilmesi, tutulması gereken sermaye ihtiyacının ekonominin çevrim dönemlerine göre artırılabilmesi ya da azaltılabilmesi, asgari likidite oranlarına yönelik düzenlemeler yapılması gibi bir dizi yeni uygulama getirmektedir. Söz konusu uygulamalara, 2013’ten başlayarak 2019’a kadar kademeli olarak geçiş yapılması planlanmaktadır. AB’de Basel III kurallarının AB mevzuatına aktarılmasının, yeni CRD IV/CRR Paketiyle gerçekleştirilmesi öngörülmektedir. 20 Temmuz 2011 tarihinde kabul edilen bir Yönerge ve bir Tüzük’ten oluşan bu yeni Paket, 2006/48 ve 2006/49 Sayılı Sermaye Gereksinimi Yönergeleri’nin (CRD) yerine geçmek- te ve böylelikle AB bankaları ve yatırım şirketlerinin sermaye yeterliliklerine ilişkin yasal zemini oluşturmaktadır.</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Batık Krediler</w:t>
      </w:r>
    </w:p>
    <w:p w:rsidR="008F0085" w:rsidRPr="00DA3794" w:rsidRDefault="008F0085" w:rsidP="008F0085">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Bad Loans</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Belli bir süreyi aşan ödenmemiş borç ve/veya ekonomik sebeplerle yok olmuş veya aşınmış teminat değeri kredisi olarak adlandırılmaktadır. Bir başka deyişle, kredinin geri ödemelerine ilişkin, ödünç veren ve ödünç alanın başta kabul ettikleri koşullar yerine getirilmediğinde ve hiçbir zaman da yerine getirilemeyeceği ihtimali olduğunda, bu krediler, batık kredi olarak nitelendirilir.</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“Biz Yüzde 99’uz”</w:t>
      </w:r>
    </w:p>
    <w:p w:rsidR="008F0085" w:rsidRPr="00DA3794" w:rsidRDefault="008F0085" w:rsidP="008F0085">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“We’re the 99%”</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17 Eylül 2011’de, New York’ta, ABD’nin finansal kalbi Wall Street’te başlayan “Wall Street’i İşgal Et” protestolarındaki ana sloganıdır.</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Borcun Sürdürülebilirliği</w:t>
      </w:r>
    </w:p>
    <w:p w:rsidR="008F0085" w:rsidRPr="00DA3794" w:rsidRDefault="008F0085" w:rsidP="008F0085">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Debt Sustainability</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Bir ülkenin borç yükümlülüklerini, herhangi bir borç hafifletilmesine gitmeden ya da ödenmemiş borçları biriktirmeden yerine getirmesidir. Bir başka deyişle borcun sürdürülebilirliği, borcun geri ödemelerinin (faiz ve ana paranın yıllar içindeki belirlenmiş payının) düzenli, zamanında ve tam olarak yapılmasıdır.</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Borçlanan Ülkeler</w:t>
      </w:r>
    </w:p>
    <w:p w:rsidR="008F0085" w:rsidRPr="00DA3794" w:rsidRDefault="008F0085" w:rsidP="008F0085">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Debtor Countries</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Ödemeler dengesi açığı veren, bir başka deyişle toplam finansal varlıkları ile toplam finansal yükümlülüklerinin farkı negatif olan ülkeler, borçlanan ülkeler olarak adlandırılmaktadır.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Borçlanan ülkeler, ihracattan, ithalata harcadıklarından daha az para kazanarak dış ticaret açığı vermekte ve bu açığı kapatmak için uluslararası finans piyasalarından borç almaktadırlar. Borçlanan ülkeler, Avro Alanı krizi bağlamında, Avro Alanı’nın güneyinde bulunan ülkeleri tanımlamak için de kullanılmaktadır. Borç krizi ile birlikte, Avro Alanı’nın kuzeyinde yer alan ve kredi veren ülkeler ile güneyindeki borçlanan ülkeler arasındaki ayrım da derinleşmiştir. AB’den yardım talebinde bulunan ülkelerin kurtarma paketleri kuzeydeki kredi veren ülkeler tarafından finanse edildiği için, AB üye ülkeleri arasındaki ilişki, eşit ortaklar arasındaki bir ilişkiden çok bazı politikaların kredi veren ülkeler tarafından dikte edildiği izleniminin ve hiyerarşik bir yapının hakim olduğu “kreditör-borçlanan ülke” veya “kuzey-güney” ekseninde şekillenmeye başlamıştır.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Problemli ekonomileri ile karakterize edilen güneydeki borçlanan ülkeler, krizin üstesinden Üye Devletler arasındaki dayanışmanın artırılmasıyla gelinebileceği görüşünü savunmaktadır. Güneydeki ülkeler, yüksek faiz oranları ve yüksek maliyetle borçlanırken, kuzeydeki ülkeler düşük faizlerle ucuza borçlanabilmektedir. Borçlanan ülkeler ayrıca, AB ortalamasının üzerinde seyreden işsizlik oranları ve rekabet gücünün kaybı ile kuzeydeki kredi veren ülkelerden ayrılmaktadır. Borçlanan ülkelere göre krizin temel nedenleri, avronun kullanılmaya başlamasıyla birlikte artan para akışı, Almanya’daki düşük iç talep ve Almanya’nın ticaret odaklı stratejisi oluşturmaktadır. Borçlanan ülkelere göre krizin çözümü için kemer sıkma önlemleri yetersiz bir çözüm yolu olmakla birlikte, büyümenin de yavaşlamasına neden olmaktadır.</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Bretton Woods Sistemi</w:t>
      </w:r>
    </w:p>
    <w:p w:rsidR="008F0085" w:rsidRPr="00DA3794" w:rsidRDefault="008F0085" w:rsidP="008F0085">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Bretton Woods System</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İkinci Dünya Savaşı sırasında, Temmuz 1944’te, ABD’nin küçük bir kasabası olan Bretton Woods’ta toplanan Birleşmiş Milletler Para ve Finans Konferansı’nda ortaya çıkan iktisadi sistemdir.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Bretton Woods Uluslararası Para İdare Sistemi, dünyanın önde gelen devletleri arasındaki ticari ve finansal işlemlerde uyulması gereken kuralları belirler. Bu sistem, dünya tarihinde ilk kez, bağımsız ulus devletlerin kendi aralarında ortak bir parasal düzen üzerinde anlaşmaları sonucunda uygulamaya konulmuştur.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Uluslararası para sisteminin kurallarını belirleyen bu anlaşma ile ayrıca, Dünya Bankası ve Uluslararası Para Fonu’nun kurulmasına karar verilmiştir. Bu kurumlar, 1946’da, yeterli sayıda ülke anlaşmayı imzalayınca faaliyete geçmiştir.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Tüm para birimlerinin ABD Doları’na endeksli olması, zamanla piyasalarda gerilim yaratmış ve 1971’de ABD’nin doları altına endekslemekten vazgeçtiğini açıklamasıyla da sistem çökmüştür. Ortaya çıkan bu krizin en önemli sebebi, ABD dışındaki ülkelerde dolar miktarının artması ve bu sebeple doların değerinin düşmesidir.</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Bütçe Açığı</w:t>
      </w:r>
    </w:p>
    <w:p w:rsidR="008F0085" w:rsidRPr="00DA3794" w:rsidRDefault="008F0085" w:rsidP="008F0085">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Budget deficit </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Kamu bütçesindeki giderlerin gelirlerden fazla olması durumunda ortaya çıkan fark ya da açıktır. Bütçe açıkları genelde ülkelerin içinde bulundukları siyasi ve ekonomik koşullara göre belirlenmektedir. Kamu harcamalarında görülen artışlar, bütçe açıklarının artmasına neden olabilmektedir. Özellikle son yıllarda ülkelerin çoğunda kamu borçlarının GSYİH’ye oranı önemli ölçüde artmıştır. Bu artış trendi gelişmekte olan ülkelerin olduğu kadar gelişmiş ülkelerin de en önemli sorunlarındandır. Ancak gelişmekte olan ülkelerdeki bütçe açıklarının nedenleri gelişmekte olan ülkelerinkiyle farklılık gösterebilmektedir. </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Bütçe Disiplini</w:t>
      </w:r>
    </w:p>
    <w:p w:rsidR="008F0085" w:rsidRPr="00DA3794" w:rsidRDefault="008F0085" w:rsidP="008F0085">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Budgetary Discipline</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Bütçe disiplini, bir devletin kamu maliyesi kapsamında kamu gelir ve giderlerinin birbirine denkliği, diğer bir ifadeyle bir mali yıl içinde kamu gelirlerinin kamu giderlerini finanse edebilmesidir. Ancak uygulamada, en gelişmiş ülkelerde bile bütçe gelir ve giderlerinin tamamen birbirine denk olması durumu oldukça nadir görülmektedir. Özellikle sosyal refah devleti kavramının ön plana çıkması ve bu yönde kamu ekonomisinde meydana gelen gelişmelerin de etkisiyle kamu harcamalarında yaşanan artışlar kamu gelirlerinden sağlanamamakta ve bunun sonucunda bütçe açıkları oluşmaktadır. Bütçe açığı nedeniyle ortaya çıkan mali disiplinsizliğin bir ülkenin ekonomik ve mali yapısı için ciddi bir sorun olarak algılanabilmesinde, bu disiplinsizliğin boyutları önem taşımaktadır. Bu açıdan bütçe disiplini, daha esnek bir tanımla, belirli bir düzeyde açık ve borç düzeylerinin oluşturulup ardından bu düzeylerin sürdürülmesidir. Bu tanım kapsamında önemli olan ihtiyatlı açık ve borç düzeylerinin dikkatli olarak belirlenip daha sonra bu düzeylerin sürdürülebilirliğinin sağlanmasıdır. AB ülkeleri için Ekonomik ve Parasal Birlik hedefini gerçekleştirmek amacıyla belirlenen Maastricht Kriterleri’nden birini oluşturan bütçe açığının GSYİH’ye oranın en fazla yüzde 3 olması öngörülmüştür. Bu oran aynı zamanda İstikrar ve Büyüme Paktı çerçevesinde belirlenmiş eşik değerdir.</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Büyüme Paktı</w:t>
      </w:r>
    </w:p>
    <w:p w:rsidR="008F0085" w:rsidRPr="00DA3794" w:rsidRDefault="008F0085" w:rsidP="008F0085">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Growth Pact</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Bkz. Büyüme ve İstihdam Paktı.</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Büyüme ve İstihdam Eylem Planı</w:t>
      </w:r>
    </w:p>
    <w:p w:rsidR="008F0085" w:rsidRPr="00DA3794" w:rsidRDefault="008F0085" w:rsidP="008F0085">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Growth and Jobs Action Plan</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Bkz. Los Cabos Büyüme ve İstihdam Eylem Planı.</w:t>
      </w:r>
    </w:p>
    <w:p w:rsidR="008F0085" w:rsidRPr="00DA3794" w:rsidRDefault="008F0085" w:rsidP="008F0085">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Büyüme ve İstihdam Paktı</w:t>
      </w:r>
    </w:p>
    <w:p w:rsidR="008F0085" w:rsidRPr="00DA3794" w:rsidRDefault="008F0085" w:rsidP="008F0085">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Compact for Growth and Jobs</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AB’de işsizlikle mücadele ve büyümenin yeniden başlatılması yolunda gerek ulusal düzeyde, gerekse Avro Alanı ve AB düzeyinde atılacak adımlar için tutarlı bir çerçeve niteliği taşıyan Büyüme ve İstihdam Paktı, AB liderleri tarafından 28 - 29 Haziran 2012 tarihli AB Zirvesi’nde kabul edilmiştir.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Büyüme Paktı olarak da adlandırılan Büyüme ve İstihdam Paktı ile AB’de büyümeye, yatırım ve istihdama yeniden hız verilmesi yoluyla AB’nin rekabet gücünün artırılması amaçlanmaktadır. Büyüme ve İstihdam Paktı’nın bir diğer amacı da Avrupa 2020 Stratejisi’nde belirlenen hedeflere ulaşılmasında daha hızlı ilerleme kaydedilmesidir.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Büyüme ve İstihdam Paktı kapsamında, Üye Devletler işsizlikle ve krizin sosyal etkileriyle etkili bir şekilde mücadele etmek amacıyla, istihdam oranlarının artırılması yönünde gerekli reformların hayata geçirilmesi ve genç nüfus istihdamının artırılması için çabalarına hız verme taahhüdünde bulunmaktadır. Büyüme ve İstihdam Paktı ile Avrupa Yatırım Bankası refinansmanı, yapısal fonların yeniden yapılandırılması ve büyük altyapı projelerinin finansmanı için Proje Tahvilleri pilot projesinin faaliyete geçirilmesi gibi acil yatırım önlemleri ile 120 milyar avroluk bir kaynak da AB ekonomisine enjekte edilmiştir.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Büyüme ve İstihdam Paktı kapsamında ulusal düzeyde atılması gereken adımlar arasında, ekonomik yönetişim alanında geliştirilen yeni araçların etkili bir şekilde uygulanması ve bu bağlamda İkili Paket’in hızla kabul edilmesi ilk sırada yer almaktadır. Üye Devletler düzeyinde atılması gereken diğer adımlar ise ülkeye özel tavsiyelerin uygulanmasında farklılaştırılmış büyüme dostu mali konsolidasyonun amaçlanması; bankacılık sektörünün yeniden yapılandırılmasının ivedilikle tamamlanması ve ekonomiye normal şekilde borç verilmesinin sağlanması; derin dengesizliklerin üstesinden gelinmesi ve yapısal reformlarla ulusal büyüme potansiyelinin açığa çıkarılması aracılığıyla büyüme ve rekabetçiliğin teşvik edilmesi; işsizlikle ve krizin sosyal sonuçlarıyla etkili bir şekilde mücadele edilmesi ve kamu idaresinin modernize edilmesi oluşturmaktadır.</w:t>
      </w:r>
    </w:p>
    <w:p w:rsidR="008F0085" w:rsidRPr="00DA3794" w:rsidRDefault="008F0085" w:rsidP="008F0085">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Büyüme ve istihdamın artırılması, kısa ve orta vadede ekonominin finansmanının güçlendirilmesi ve Avrupa’nın bir üretim ve yatırım merkezi olarak rekabet gücünün artırılması için AB düzeyindeki politikalar bağlamında yapılması gerekenlerin başında, mevcut engellerin kaldırılması yoluyla Tek Pazar’ın derinleştirilmesi; 2015 yılında kadar AB ekonomisine dinamizm getirecek iyi işleyen bir Dijital Tek Pazar’ın oluşturulması; AB düzeyinde ve ulusal düzeyde denetimsel yükün azaltılması için harekete geçilmesi; 2014 yılına kadar enerji iç pazarının tamamlanması; AB’nin rekabet gücünün artırıl ması ve toplumsal zorlukların aşılması için araştırmanın inovasyona dönüştürülmesinin sağlanması; uyum politikasının reforme edilmesi; AB bütçesinin büyüme ve istihdam konusunda bir katalist görevi görmesi için Çok Yıllı Mali Çerçeve’nin büyüme; istihdam ve rekabetçiliğin desteklenmesi amacıyla mobilize edilmesi; vergilendirme politikasının mali konsolidasyon ve sürdürülebilir büyümeye katkıda bulunmasının sağlanması ve istihdamın artırılması gelmektedir.</w:t>
      </w:r>
    </w:p>
    <w:p w:rsidR="005725EA" w:rsidRPr="00DA3794" w:rsidRDefault="005725EA">
      <w:pPr>
        <w:rPr>
          <w:rFonts w:ascii="Times New Roman" w:hAnsi="Times New Roman" w:cs="Times New Roman"/>
          <w:sz w:val="28"/>
          <w:szCs w:val="28"/>
        </w:rPr>
      </w:pPr>
    </w:p>
    <w:p w:rsidR="00497A84" w:rsidRPr="00DA3794" w:rsidRDefault="00497A84">
      <w:pPr>
        <w:rPr>
          <w:rFonts w:ascii="Times New Roman" w:hAnsi="Times New Roman" w:cs="Times New Roman"/>
          <w:sz w:val="28"/>
          <w:szCs w:val="28"/>
        </w:rPr>
      </w:pPr>
    </w:p>
    <w:p w:rsidR="00497A84" w:rsidRPr="00DA3794" w:rsidRDefault="00497A84" w:rsidP="00497A84">
      <w:pPr>
        <w:pStyle w:val="Balk1"/>
        <w:spacing w:before="0" w:beforeAutospacing="0" w:after="0" w:afterAutospacing="0"/>
        <w:rPr>
          <w:color w:val="003F82"/>
          <w:sz w:val="28"/>
          <w:szCs w:val="28"/>
        </w:rPr>
      </w:pPr>
      <w:r w:rsidRPr="00DA3794">
        <w:rPr>
          <w:color w:val="003F82"/>
          <w:sz w:val="28"/>
          <w:szCs w:val="28"/>
        </w:rPr>
        <w:t>C</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Cari denge</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rStyle w:val="Vurgu"/>
          <w:color w:val="333333"/>
          <w:sz w:val="28"/>
          <w:szCs w:val="28"/>
        </w:rPr>
        <w:t>Current account balance</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color w:val="333333"/>
          <w:sz w:val="28"/>
          <w:szCs w:val="28"/>
        </w:rPr>
        <w:t>Cari denge, ödemeler bilançosunun dış ticaret (ihracat-ithalat dengesi), hizmetler (hizmet alımları ve satımları), yatırım (net faktör) gelirleri (dış yatırım gelirleri ve giderleri) ve cari transferler (karşılıksız olarak elde edilen dış gelirler ve karşılıksız olarak yapılan dış giderler) dengelerinin toplamından oluşur.</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color w:val="333333"/>
          <w:sz w:val="28"/>
          <w:szCs w:val="28"/>
        </w:rPr>
        <w:t>Bir ülkenin cari işlemlerden elde ettiği gelirler, cari işlemlere yapılan giderlerden daha fazla olduğu takdirde bu durum cari fazla (cari işlemler fazlası); daha az olduğu durumda da</w:t>
      </w:r>
      <w:bookmarkStart w:id="0" w:name="_GoBack"/>
      <w:bookmarkEnd w:id="0"/>
      <w:r w:rsidRPr="00DA3794">
        <w:rPr>
          <w:color w:val="333333"/>
          <w:sz w:val="28"/>
          <w:szCs w:val="28"/>
        </w:rPr>
        <w:t> cari açık (cari işlemler açığı) olarak nitelenir.</w:t>
      </w:r>
    </w:p>
    <w:p w:rsidR="00497A84" w:rsidRPr="00DA3794" w:rsidRDefault="00497A84">
      <w:pPr>
        <w:rPr>
          <w:rFonts w:ascii="Times New Roman" w:hAnsi="Times New Roman" w:cs="Times New Roman"/>
          <w:sz w:val="28"/>
          <w:szCs w:val="28"/>
        </w:rPr>
      </w:pPr>
    </w:p>
    <w:p w:rsidR="00497A84" w:rsidRPr="00DA3794" w:rsidRDefault="00497A84">
      <w:pPr>
        <w:rPr>
          <w:rFonts w:ascii="Times New Roman" w:hAnsi="Times New Roman" w:cs="Times New Roman"/>
          <w:sz w:val="28"/>
          <w:szCs w:val="28"/>
        </w:rPr>
      </w:pPr>
    </w:p>
    <w:p w:rsidR="00497A84" w:rsidRPr="00DA3794" w:rsidRDefault="00497A84" w:rsidP="00497A84">
      <w:pPr>
        <w:spacing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D</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Daimi Kriz Mekanizması</w:t>
      </w:r>
    </w:p>
    <w:p w:rsidR="00497A84" w:rsidRPr="00DA3794" w:rsidRDefault="00497A84" w:rsidP="00497A84">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Permanent Crises Mechanism</w:t>
      </w:r>
    </w:p>
    <w:p w:rsidR="00497A84" w:rsidRPr="00DA3794" w:rsidRDefault="00497A84" w:rsidP="00497A84">
      <w:pPr>
        <w:spacing w:before="150"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Bkz. Avrupa İstikrar Mekanizması.</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De Larosière Grubu</w:t>
      </w:r>
    </w:p>
    <w:p w:rsidR="00497A84" w:rsidRPr="00DA3794" w:rsidRDefault="00497A84" w:rsidP="00497A84">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De Larosière Group</w:t>
      </w:r>
    </w:p>
    <w:p w:rsidR="00497A84" w:rsidRPr="00DA3794" w:rsidRDefault="00497A84" w:rsidP="00497A84">
      <w:pPr>
        <w:spacing w:before="150"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Bkz. Avrupa Sistemik Risk Kurulu.</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Derin ve Gerçek bir Ekonomik ve Parasal Birliğe Yönelik Eylem Planı</w:t>
      </w:r>
    </w:p>
    <w:p w:rsidR="00497A84" w:rsidRPr="00DA3794" w:rsidRDefault="00497A84" w:rsidP="00497A84">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A Blueprint for Deep and Genuine Economic and Monetary Union</w:t>
      </w:r>
    </w:p>
    <w:p w:rsidR="00497A84" w:rsidRPr="00DA3794" w:rsidRDefault="00497A84" w:rsidP="00497A84">
      <w:pPr>
        <w:spacing w:before="150"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Derin ve Gerçek bir Ekonomik ve Parasal Birlik için Taslak, finansal, mali, ekonomik ve siyasi alanlarda güçlü ve kalıcı bir yapı için vizyonun oluşturulması amacıyla, Avrupa Komisyonu tarafından 28 Kasım 2012 tarihinde kabul edilmiştir. Taslakta kısa, orta ve uzun vadede alınacak önlemleri, bu önlemelerin ikincil düzenleme mi yoksa Antlaşmada değişiklik mi gerektirdiği, aşağıdaki tablodan izlenebilir.</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92"/>
        <w:gridCol w:w="1003"/>
        <w:gridCol w:w="798"/>
        <w:gridCol w:w="2683"/>
        <w:gridCol w:w="1598"/>
        <w:gridCol w:w="1714"/>
      </w:tblGrid>
      <w:tr w:rsidR="00497A84" w:rsidRPr="00DA3794" w:rsidTr="004D30B4">
        <w:trPr>
          <w:trHeight w:val="690"/>
          <w:jc w:val="center"/>
        </w:trPr>
        <w:tc>
          <w:tcPr>
            <w:tcW w:w="1702" w:type="pct"/>
            <w:gridSpan w:val="3"/>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sz w:val="16"/>
                <w:szCs w:val="16"/>
                <w:lang w:eastAsia="tr-TR"/>
              </w:rPr>
            </w:pPr>
            <w:r w:rsidRPr="004D30B4">
              <w:rPr>
                <w:rFonts w:ascii="Times New Roman" w:eastAsia="Times New Roman" w:hAnsi="Times New Roman" w:cs="Times New Roman"/>
                <w:sz w:val="16"/>
                <w:szCs w:val="16"/>
                <w:lang w:eastAsia="tr-TR"/>
              </w:rPr>
              <w:t> </w:t>
            </w:r>
          </w:p>
        </w:tc>
        <w:tc>
          <w:tcPr>
            <w:tcW w:w="1476"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b/>
                <w:bCs/>
                <w:color w:val="333333"/>
                <w:sz w:val="16"/>
                <w:szCs w:val="16"/>
                <w:lang w:eastAsia="tr-TR"/>
              </w:rPr>
              <w:t>Derin ve Gerçek</w:t>
            </w:r>
          </w:p>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b/>
                <w:bCs/>
                <w:color w:val="333333"/>
                <w:sz w:val="16"/>
                <w:szCs w:val="16"/>
                <w:lang w:eastAsia="tr-TR"/>
              </w:rPr>
              <w:t>Bir Ekonomik ve Parasal Birlik İçin Taslak</w:t>
            </w:r>
          </w:p>
        </w:tc>
        <w:tc>
          <w:tcPr>
            <w:tcW w:w="879"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b/>
                <w:bCs/>
                <w:color w:val="333333"/>
                <w:sz w:val="16"/>
                <w:szCs w:val="16"/>
                <w:lang w:eastAsia="tr-TR"/>
              </w:rPr>
              <w:t>İkincil Düzenleme</w:t>
            </w:r>
          </w:p>
        </w:tc>
        <w:tc>
          <w:tcPr>
            <w:tcW w:w="943"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b/>
                <w:bCs/>
                <w:color w:val="333333"/>
                <w:sz w:val="16"/>
                <w:szCs w:val="16"/>
                <w:lang w:eastAsia="tr-TR"/>
              </w:rPr>
              <w:t>Antlaşmada Değişiklik</w:t>
            </w:r>
          </w:p>
        </w:tc>
      </w:tr>
      <w:tr w:rsidR="00497A84" w:rsidRPr="00DA3794" w:rsidTr="004D30B4">
        <w:trPr>
          <w:trHeight w:val="1065"/>
          <w:jc w:val="center"/>
        </w:trPr>
        <w:tc>
          <w:tcPr>
            <w:tcW w:w="711" w:type="pct"/>
            <w:vMerge w:val="restar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Tüm Süreç Boyunca</w:t>
            </w:r>
          </w:p>
        </w:tc>
        <w:tc>
          <w:tcPr>
            <w:tcW w:w="552" w:type="pct"/>
            <w:vMerge w:val="restar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Kısa vade</w:t>
            </w:r>
          </w:p>
        </w:tc>
        <w:tc>
          <w:tcPr>
            <w:tcW w:w="439" w:type="pct"/>
            <w:vMerge w:val="restar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6-18 Ay</w:t>
            </w:r>
          </w:p>
        </w:tc>
        <w:tc>
          <w:tcPr>
            <w:tcW w:w="1476" w:type="pct"/>
            <w:vMerge w:val="restar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numPr>
                <w:ilvl w:val="0"/>
                <w:numId w:val="6"/>
              </w:numPr>
              <w:spacing w:before="150" w:after="0" w:line="270" w:lineRule="atLeast"/>
              <w:ind w:left="300"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Avrupa Sömestrinin ve Altılı Paketin tamamen uygulanması, İkili Paketin hızla kabul edilerek uygulanması.</w:t>
            </w:r>
          </w:p>
          <w:p w:rsidR="00497A84" w:rsidRPr="004D30B4" w:rsidRDefault="00497A84" w:rsidP="00497A84">
            <w:pPr>
              <w:numPr>
                <w:ilvl w:val="0"/>
                <w:numId w:val="6"/>
              </w:numPr>
              <w:spacing w:before="150" w:after="0" w:line="270" w:lineRule="atLeast"/>
              <w:ind w:left="300"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Bankacılık Birliği: Mali düzenleme ve izleme, Tek Kanunname  (Single Rulebook) ve Tek İzleme Mekanizması (Single Supervisory Mechanism) ile ilgili tekliferin hızla kabul edilmesi.</w:t>
            </w:r>
          </w:p>
          <w:p w:rsidR="00497A84" w:rsidRPr="004D30B4" w:rsidRDefault="00497A84" w:rsidP="00497A84">
            <w:pPr>
              <w:numPr>
                <w:ilvl w:val="0"/>
                <w:numId w:val="6"/>
              </w:numPr>
              <w:spacing w:before="150" w:after="0" w:line="270" w:lineRule="atLeast"/>
              <w:ind w:left="300"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Bankacılık Birliği: Tek Karar Mekanizması (Single Resolution Mechanism).</w:t>
            </w:r>
          </w:p>
          <w:p w:rsidR="00497A84" w:rsidRPr="004D30B4" w:rsidRDefault="00497A84" w:rsidP="00497A84">
            <w:pPr>
              <w:numPr>
                <w:ilvl w:val="0"/>
                <w:numId w:val="6"/>
              </w:numPr>
              <w:spacing w:before="150" w:after="0" w:line="270" w:lineRule="atLeast"/>
              <w:ind w:left="300"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Gelecek Çok Yıllı Mali Çerçeve ile ilgili hızla karar verilmesi.</w:t>
            </w:r>
          </w:p>
          <w:p w:rsidR="00497A84" w:rsidRPr="004D30B4" w:rsidRDefault="00497A84" w:rsidP="00497A84">
            <w:pPr>
              <w:numPr>
                <w:ilvl w:val="0"/>
                <w:numId w:val="6"/>
              </w:numPr>
              <w:spacing w:before="150" w:after="0" w:line="270" w:lineRule="atLeast"/>
              <w:ind w:left="300"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Temel reformların önceden koordine edilmesi ve Uyum ve Rekabet Aracının (Convergence and Competitiveness Instrument) yaratılması.</w:t>
            </w:r>
          </w:p>
          <w:p w:rsidR="00497A84" w:rsidRPr="004D30B4" w:rsidRDefault="00497A84" w:rsidP="00497A84">
            <w:pPr>
              <w:numPr>
                <w:ilvl w:val="0"/>
                <w:numId w:val="6"/>
              </w:numPr>
              <w:spacing w:before="150" w:after="0" w:line="270" w:lineRule="atLeast"/>
              <w:ind w:left="300"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İstikrar ve Büyüme Paktıyla uyumlu biçimde Avro Alanı’nda yatırımların desteklenmesi.</w:t>
            </w:r>
          </w:p>
          <w:p w:rsidR="00497A84" w:rsidRPr="004D30B4" w:rsidRDefault="00497A84" w:rsidP="00497A84">
            <w:pPr>
              <w:numPr>
                <w:ilvl w:val="0"/>
                <w:numId w:val="6"/>
              </w:numPr>
              <w:spacing w:before="150" w:after="0" w:line="270" w:lineRule="atLeast"/>
              <w:ind w:left="300"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Avro Alanı’nın dışarıda temsili.</w:t>
            </w:r>
          </w:p>
        </w:tc>
        <w:tc>
          <w:tcPr>
            <w:tcW w:w="879"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w:t>
            </w:r>
          </w:p>
        </w:tc>
        <w:tc>
          <w:tcPr>
            <w:tcW w:w="943"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sz w:val="16"/>
                <w:szCs w:val="16"/>
                <w:lang w:eastAsia="tr-TR"/>
              </w:rPr>
            </w:pPr>
            <w:r w:rsidRPr="004D30B4">
              <w:rPr>
                <w:rFonts w:ascii="Times New Roman" w:eastAsia="Times New Roman" w:hAnsi="Times New Roman" w:cs="Times New Roman"/>
                <w:sz w:val="16"/>
                <w:szCs w:val="16"/>
                <w:lang w:eastAsia="tr-TR"/>
              </w:rPr>
              <w:t> </w:t>
            </w:r>
          </w:p>
        </w:tc>
      </w:tr>
      <w:tr w:rsidR="00497A84" w:rsidRPr="00DA3794" w:rsidTr="004D30B4">
        <w:trPr>
          <w:trHeight w:val="1635"/>
          <w:jc w:val="center"/>
        </w:trPr>
        <w:tc>
          <w:tcPr>
            <w:tcW w:w="711"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552"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439"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1476"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879"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w:t>
            </w:r>
          </w:p>
        </w:tc>
        <w:tc>
          <w:tcPr>
            <w:tcW w:w="943"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sz w:val="16"/>
                <w:szCs w:val="16"/>
                <w:lang w:eastAsia="tr-TR"/>
              </w:rPr>
            </w:pPr>
            <w:r w:rsidRPr="004D30B4">
              <w:rPr>
                <w:rFonts w:ascii="Times New Roman" w:eastAsia="Times New Roman" w:hAnsi="Times New Roman" w:cs="Times New Roman"/>
                <w:sz w:val="16"/>
                <w:szCs w:val="16"/>
                <w:lang w:eastAsia="tr-TR"/>
              </w:rPr>
              <w:t> </w:t>
            </w:r>
          </w:p>
        </w:tc>
      </w:tr>
      <w:tr w:rsidR="00497A84" w:rsidRPr="00DA3794" w:rsidTr="004D30B4">
        <w:trPr>
          <w:trHeight w:val="660"/>
          <w:jc w:val="center"/>
        </w:trPr>
        <w:tc>
          <w:tcPr>
            <w:tcW w:w="711"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552"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439"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1476"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879"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w:t>
            </w:r>
          </w:p>
        </w:tc>
        <w:tc>
          <w:tcPr>
            <w:tcW w:w="943"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sz w:val="16"/>
                <w:szCs w:val="16"/>
                <w:lang w:eastAsia="tr-TR"/>
              </w:rPr>
            </w:pPr>
            <w:r w:rsidRPr="004D30B4">
              <w:rPr>
                <w:rFonts w:ascii="Times New Roman" w:eastAsia="Times New Roman" w:hAnsi="Times New Roman" w:cs="Times New Roman"/>
                <w:sz w:val="16"/>
                <w:szCs w:val="16"/>
                <w:lang w:eastAsia="tr-TR"/>
              </w:rPr>
              <w:t> </w:t>
            </w:r>
          </w:p>
        </w:tc>
      </w:tr>
      <w:tr w:rsidR="00497A84" w:rsidRPr="00DA3794" w:rsidTr="004D30B4">
        <w:trPr>
          <w:trHeight w:val="390"/>
          <w:jc w:val="center"/>
        </w:trPr>
        <w:tc>
          <w:tcPr>
            <w:tcW w:w="711"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552"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439"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1476"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879"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w:t>
            </w:r>
          </w:p>
        </w:tc>
        <w:tc>
          <w:tcPr>
            <w:tcW w:w="943"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sz w:val="16"/>
                <w:szCs w:val="16"/>
                <w:lang w:eastAsia="tr-TR"/>
              </w:rPr>
            </w:pPr>
            <w:r w:rsidRPr="004D30B4">
              <w:rPr>
                <w:rFonts w:ascii="Times New Roman" w:eastAsia="Times New Roman" w:hAnsi="Times New Roman" w:cs="Times New Roman"/>
                <w:sz w:val="16"/>
                <w:szCs w:val="16"/>
                <w:lang w:eastAsia="tr-TR"/>
              </w:rPr>
              <w:t> </w:t>
            </w:r>
          </w:p>
        </w:tc>
      </w:tr>
      <w:tr w:rsidR="00497A84" w:rsidRPr="00DA3794" w:rsidTr="004D30B4">
        <w:trPr>
          <w:trHeight w:val="990"/>
          <w:jc w:val="center"/>
        </w:trPr>
        <w:tc>
          <w:tcPr>
            <w:tcW w:w="711"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552"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439"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1476"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879"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w:t>
            </w:r>
          </w:p>
        </w:tc>
        <w:tc>
          <w:tcPr>
            <w:tcW w:w="943"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sz w:val="16"/>
                <w:szCs w:val="16"/>
                <w:lang w:eastAsia="tr-TR"/>
              </w:rPr>
            </w:pPr>
            <w:r w:rsidRPr="004D30B4">
              <w:rPr>
                <w:rFonts w:ascii="Times New Roman" w:eastAsia="Times New Roman" w:hAnsi="Times New Roman" w:cs="Times New Roman"/>
                <w:sz w:val="16"/>
                <w:szCs w:val="16"/>
                <w:lang w:eastAsia="tr-TR"/>
              </w:rPr>
              <w:t> </w:t>
            </w:r>
          </w:p>
        </w:tc>
      </w:tr>
      <w:tr w:rsidR="00497A84" w:rsidRPr="00DA3794" w:rsidTr="004D30B4">
        <w:trPr>
          <w:trHeight w:val="735"/>
          <w:jc w:val="center"/>
        </w:trPr>
        <w:tc>
          <w:tcPr>
            <w:tcW w:w="711"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552"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439"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1476"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879"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w:t>
            </w:r>
          </w:p>
        </w:tc>
        <w:tc>
          <w:tcPr>
            <w:tcW w:w="943"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sz w:val="16"/>
                <w:szCs w:val="16"/>
                <w:lang w:eastAsia="tr-TR"/>
              </w:rPr>
            </w:pPr>
            <w:r w:rsidRPr="004D30B4">
              <w:rPr>
                <w:rFonts w:ascii="Times New Roman" w:eastAsia="Times New Roman" w:hAnsi="Times New Roman" w:cs="Times New Roman"/>
                <w:sz w:val="16"/>
                <w:szCs w:val="16"/>
                <w:lang w:eastAsia="tr-TR"/>
              </w:rPr>
              <w:t> </w:t>
            </w:r>
          </w:p>
        </w:tc>
      </w:tr>
      <w:tr w:rsidR="00497A84" w:rsidRPr="00DA3794" w:rsidTr="004D30B4">
        <w:trPr>
          <w:trHeight w:val="330"/>
          <w:jc w:val="center"/>
        </w:trPr>
        <w:tc>
          <w:tcPr>
            <w:tcW w:w="711"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552"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439"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1476"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879"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w:t>
            </w:r>
          </w:p>
        </w:tc>
        <w:tc>
          <w:tcPr>
            <w:tcW w:w="943"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sz w:val="16"/>
                <w:szCs w:val="16"/>
                <w:lang w:eastAsia="tr-TR"/>
              </w:rPr>
            </w:pPr>
            <w:r w:rsidRPr="004D30B4">
              <w:rPr>
                <w:rFonts w:ascii="Times New Roman" w:eastAsia="Times New Roman" w:hAnsi="Times New Roman" w:cs="Times New Roman"/>
                <w:sz w:val="16"/>
                <w:szCs w:val="16"/>
                <w:lang w:eastAsia="tr-TR"/>
              </w:rPr>
              <w:t> </w:t>
            </w:r>
          </w:p>
        </w:tc>
      </w:tr>
      <w:tr w:rsidR="00497A84" w:rsidRPr="00DA3794" w:rsidTr="004D30B4">
        <w:trPr>
          <w:trHeight w:val="660"/>
          <w:jc w:val="center"/>
        </w:trPr>
        <w:tc>
          <w:tcPr>
            <w:tcW w:w="711"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552" w:type="pct"/>
            <w:vMerge w:val="restar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Orta Vade</w:t>
            </w:r>
          </w:p>
        </w:tc>
        <w:tc>
          <w:tcPr>
            <w:tcW w:w="439" w:type="pct"/>
            <w:vMerge w:val="restar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18 Ay-5 Yıl</w:t>
            </w:r>
          </w:p>
        </w:tc>
        <w:tc>
          <w:tcPr>
            <w:tcW w:w="1476" w:type="pct"/>
            <w:vMerge w:val="restar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numPr>
                <w:ilvl w:val="0"/>
                <w:numId w:val="7"/>
              </w:numPr>
              <w:spacing w:before="150" w:after="0" w:line="270" w:lineRule="atLeast"/>
              <w:ind w:left="300"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Bütçesel ve ekonomik entegrasyonun daha fazla sağlamlaştırılması.</w:t>
            </w:r>
          </w:p>
          <w:p w:rsidR="00497A84" w:rsidRPr="004D30B4" w:rsidRDefault="00497A84" w:rsidP="00497A84">
            <w:pPr>
              <w:numPr>
                <w:ilvl w:val="0"/>
                <w:numId w:val="7"/>
              </w:numPr>
              <w:spacing w:before="150" w:after="0" w:line="270" w:lineRule="atLeast"/>
              <w:ind w:left="300"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Uyum ve Rekabet Aracının yapılandırılmasında Avro Alanı’nda uygun mali kapasite.</w:t>
            </w:r>
          </w:p>
          <w:p w:rsidR="00497A84" w:rsidRPr="004D30B4" w:rsidRDefault="00497A84" w:rsidP="00497A84">
            <w:pPr>
              <w:numPr>
                <w:ilvl w:val="0"/>
                <w:numId w:val="7"/>
              </w:numPr>
              <w:spacing w:before="150" w:after="0" w:line="270" w:lineRule="atLeast"/>
              <w:ind w:left="300"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İtfa fonu (redemption fund)</w:t>
            </w:r>
          </w:p>
          <w:p w:rsidR="00497A84" w:rsidRPr="004D30B4" w:rsidRDefault="00497A84" w:rsidP="00497A84">
            <w:pPr>
              <w:numPr>
                <w:ilvl w:val="0"/>
                <w:numId w:val="7"/>
              </w:numPr>
              <w:spacing w:before="150" w:after="0" w:line="270" w:lineRule="atLeast"/>
              <w:ind w:left="300"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Euro Bono (Eurobills)</w:t>
            </w:r>
          </w:p>
        </w:tc>
        <w:tc>
          <w:tcPr>
            <w:tcW w:w="879"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sz w:val="16"/>
                <w:szCs w:val="16"/>
                <w:lang w:eastAsia="tr-TR"/>
              </w:rPr>
            </w:pPr>
            <w:r w:rsidRPr="004D30B4">
              <w:rPr>
                <w:rFonts w:ascii="Times New Roman" w:eastAsia="Times New Roman" w:hAnsi="Times New Roman" w:cs="Times New Roman"/>
                <w:sz w:val="16"/>
                <w:szCs w:val="16"/>
                <w:lang w:eastAsia="tr-TR"/>
              </w:rPr>
              <w:t> </w:t>
            </w:r>
          </w:p>
        </w:tc>
        <w:tc>
          <w:tcPr>
            <w:tcW w:w="943"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sz w:val="16"/>
                <w:szCs w:val="16"/>
                <w:lang w:eastAsia="tr-TR"/>
              </w:rPr>
            </w:pPr>
            <w:r w:rsidRPr="004D30B4">
              <w:rPr>
                <w:rFonts w:ascii="Times New Roman" w:eastAsia="Times New Roman" w:hAnsi="Times New Roman" w:cs="Times New Roman"/>
                <w:sz w:val="16"/>
                <w:szCs w:val="16"/>
                <w:lang w:eastAsia="tr-TR"/>
              </w:rPr>
              <w:t> </w:t>
            </w:r>
          </w:p>
        </w:tc>
      </w:tr>
      <w:tr w:rsidR="00497A84" w:rsidRPr="00DA3794" w:rsidTr="004D30B4">
        <w:trPr>
          <w:trHeight w:val="630"/>
          <w:jc w:val="center"/>
        </w:trPr>
        <w:tc>
          <w:tcPr>
            <w:tcW w:w="711"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552"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439"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1476"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879"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w:t>
            </w:r>
          </w:p>
        </w:tc>
        <w:tc>
          <w:tcPr>
            <w:tcW w:w="943"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w:t>
            </w:r>
          </w:p>
        </w:tc>
      </w:tr>
      <w:tr w:rsidR="00497A84" w:rsidRPr="00DA3794" w:rsidTr="004D30B4">
        <w:trPr>
          <w:trHeight w:val="405"/>
          <w:jc w:val="center"/>
        </w:trPr>
        <w:tc>
          <w:tcPr>
            <w:tcW w:w="711"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552"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439"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1476"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879"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w:t>
            </w:r>
          </w:p>
        </w:tc>
        <w:tc>
          <w:tcPr>
            <w:tcW w:w="943"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sz w:val="16"/>
                <w:szCs w:val="16"/>
                <w:lang w:eastAsia="tr-TR"/>
              </w:rPr>
            </w:pPr>
            <w:r w:rsidRPr="004D30B4">
              <w:rPr>
                <w:rFonts w:ascii="Times New Roman" w:eastAsia="Times New Roman" w:hAnsi="Times New Roman" w:cs="Times New Roman"/>
                <w:sz w:val="16"/>
                <w:szCs w:val="16"/>
                <w:lang w:eastAsia="tr-TR"/>
              </w:rPr>
              <w:t> </w:t>
            </w:r>
          </w:p>
        </w:tc>
      </w:tr>
      <w:tr w:rsidR="00497A84" w:rsidRPr="00DA3794" w:rsidTr="004D30B4">
        <w:trPr>
          <w:trHeight w:val="315"/>
          <w:jc w:val="center"/>
        </w:trPr>
        <w:tc>
          <w:tcPr>
            <w:tcW w:w="711"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552"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439"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1476"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879"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sz w:val="16"/>
                <w:szCs w:val="16"/>
                <w:lang w:eastAsia="tr-TR"/>
              </w:rPr>
            </w:pPr>
            <w:r w:rsidRPr="004D30B4">
              <w:rPr>
                <w:rFonts w:ascii="Times New Roman" w:eastAsia="Times New Roman" w:hAnsi="Times New Roman" w:cs="Times New Roman"/>
                <w:sz w:val="16"/>
                <w:szCs w:val="16"/>
                <w:lang w:eastAsia="tr-TR"/>
              </w:rPr>
              <w:t> </w:t>
            </w:r>
          </w:p>
        </w:tc>
        <w:tc>
          <w:tcPr>
            <w:tcW w:w="943"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w:t>
            </w:r>
          </w:p>
        </w:tc>
      </w:tr>
      <w:tr w:rsidR="00497A84" w:rsidRPr="00DA3794" w:rsidTr="004D30B4">
        <w:trPr>
          <w:trHeight w:val="285"/>
          <w:jc w:val="center"/>
        </w:trPr>
        <w:tc>
          <w:tcPr>
            <w:tcW w:w="711"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552" w:type="pct"/>
            <w:vMerge w:val="restar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Orta Vade</w:t>
            </w:r>
          </w:p>
        </w:tc>
        <w:tc>
          <w:tcPr>
            <w:tcW w:w="439" w:type="pct"/>
            <w:vMerge w:val="restar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18 Ay-5 Yıl</w:t>
            </w:r>
          </w:p>
        </w:tc>
        <w:tc>
          <w:tcPr>
            <w:tcW w:w="1476" w:type="pct"/>
            <w:vMerge w:val="restar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numPr>
                <w:ilvl w:val="0"/>
                <w:numId w:val="8"/>
              </w:numPr>
              <w:spacing w:before="150" w:after="0" w:line="270" w:lineRule="atLeast"/>
              <w:ind w:left="300"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Tam Bankacılık Birliği</w:t>
            </w:r>
          </w:p>
          <w:p w:rsidR="00497A84" w:rsidRPr="004D30B4" w:rsidRDefault="00497A84" w:rsidP="00497A84">
            <w:pPr>
              <w:numPr>
                <w:ilvl w:val="0"/>
                <w:numId w:val="8"/>
              </w:numPr>
              <w:spacing w:before="150" w:after="0" w:line="270" w:lineRule="atLeast"/>
              <w:ind w:left="300"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Tam mali ve ekonomik birlik</w:t>
            </w:r>
          </w:p>
        </w:tc>
        <w:tc>
          <w:tcPr>
            <w:tcW w:w="879"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sz w:val="16"/>
                <w:szCs w:val="16"/>
                <w:lang w:eastAsia="tr-TR"/>
              </w:rPr>
            </w:pPr>
            <w:r w:rsidRPr="004D30B4">
              <w:rPr>
                <w:rFonts w:ascii="Times New Roman" w:eastAsia="Times New Roman" w:hAnsi="Times New Roman" w:cs="Times New Roman"/>
                <w:sz w:val="16"/>
                <w:szCs w:val="16"/>
                <w:lang w:eastAsia="tr-TR"/>
              </w:rPr>
              <w:t> </w:t>
            </w:r>
          </w:p>
        </w:tc>
        <w:tc>
          <w:tcPr>
            <w:tcW w:w="943"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w:t>
            </w:r>
          </w:p>
        </w:tc>
      </w:tr>
      <w:tr w:rsidR="00497A84" w:rsidRPr="00DA3794" w:rsidTr="004D30B4">
        <w:trPr>
          <w:trHeight w:val="285"/>
          <w:jc w:val="center"/>
        </w:trPr>
        <w:tc>
          <w:tcPr>
            <w:tcW w:w="711"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552"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439"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1476"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879"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sz w:val="16"/>
                <w:szCs w:val="16"/>
                <w:lang w:eastAsia="tr-TR"/>
              </w:rPr>
            </w:pPr>
            <w:r w:rsidRPr="004D30B4">
              <w:rPr>
                <w:rFonts w:ascii="Times New Roman" w:eastAsia="Times New Roman" w:hAnsi="Times New Roman" w:cs="Times New Roman"/>
                <w:sz w:val="16"/>
                <w:szCs w:val="16"/>
                <w:lang w:eastAsia="tr-TR"/>
              </w:rPr>
              <w:t> </w:t>
            </w:r>
          </w:p>
        </w:tc>
        <w:tc>
          <w:tcPr>
            <w:tcW w:w="943"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w:t>
            </w:r>
          </w:p>
        </w:tc>
      </w:tr>
      <w:tr w:rsidR="00497A84" w:rsidRPr="00DA3794" w:rsidTr="004D30B4">
        <w:trPr>
          <w:trHeight w:val="540"/>
          <w:jc w:val="center"/>
        </w:trPr>
        <w:tc>
          <w:tcPr>
            <w:tcW w:w="711" w:type="pct"/>
            <w:vMerge/>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after="0" w:line="240" w:lineRule="auto"/>
              <w:rPr>
                <w:rFonts w:ascii="Times New Roman" w:eastAsia="Times New Roman" w:hAnsi="Times New Roman" w:cs="Times New Roman"/>
                <w:color w:val="333333"/>
                <w:sz w:val="16"/>
                <w:szCs w:val="16"/>
                <w:lang w:eastAsia="tr-TR"/>
              </w:rPr>
            </w:pPr>
          </w:p>
        </w:tc>
        <w:tc>
          <w:tcPr>
            <w:tcW w:w="552"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Siyasi Birlik</w:t>
            </w:r>
          </w:p>
        </w:tc>
        <w:tc>
          <w:tcPr>
            <w:tcW w:w="439"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18 Ay-5 Yıl</w:t>
            </w:r>
          </w:p>
        </w:tc>
        <w:tc>
          <w:tcPr>
            <w:tcW w:w="1476"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    Demokratik meşruiyet ve hesap verebilirlik     hususlarında orantılı ilerleme</w:t>
            </w:r>
          </w:p>
        </w:tc>
        <w:tc>
          <w:tcPr>
            <w:tcW w:w="879"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w:t>
            </w:r>
          </w:p>
        </w:tc>
        <w:tc>
          <w:tcPr>
            <w:tcW w:w="943" w:type="pct"/>
            <w:tcBorders>
              <w:top w:val="outset" w:sz="6" w:space="0" w:color="auto"/>
              <w:left w:val="outset" w:sz="6" w:space="0" w:color="auto"/>
              <w:bottom w:val="outset" w:sz="6" w:space="0" w:color="auto"/>
              <w:right w:val="outset" w:sz="6" w:space="0" w:color="auto"/>
            </w:tcBorders>
            <w:vAlign w:val="center"/>
            <w:hideMark/>
          </w:tcPr>
          <w:p w:rsidR="00497A84" w:rsidRPr="004D30B4" w:rsidRDefault="00497A84" w:rsidP="00497A84">
            <w:pPr>
              <w:spacing w:before="150" w:after="0" w:line="270" w:lineRule="atLeast"/>
              <w:ind w:left="75" w:right="300"/>
              <w:rPr>
                <w:rFonts w:ascii="Times New Roman" w:eastAsia="Times New Roman" w:hAnsi="Times New Roman" w:cs="Times New Roman"/>
                <w:color w:val="333333"/>
                <w:sz w:val="16"/>
                <w:szCs w:val="16"/>
                <w:lang w:eastAsia="tr-TR"/>
              </w:rPr>
            </w:pPr>
            <w:r w:rsidRPr="004D30B4">
              <w:rPr>
                <w:rFonts w:ascii="Times New Roman" w:eastAsia="Times New Roman" w:hAnsi="Times New Roman" w:cs="Times New Roman"/>
                <w:color w:val="333333"/>
                <w:sz w:val="16"/>
                <w:szCs w:val="16"/>
                <w:lang w:eastAsia="tr-TR"/>
              </w:rPr>
              <w:t>√</w:t>
            </w:r>
          </w:p>
        </w:tc>
      </w:tr>
    </w:tbl>
    <w:p w:rsidR="00497A84" w:rsidRPr="00DA3794" w:rsidRDefault="00497A84" w:rsidP="00497A84">
      <w:pPr>
        <w:spacing w:after="0" w:line="240" w:lineRule="auto"/>
        <w:rPr>
          <w:rFonts w:ascii="Times New Roman" w:eastAsia="Times New Roman" w:hAnsi="Times New Roman" w:cs="Times New Roman"/>
          <w:color w:val="000000"/>
          <w:sz w:val="28"/>
          <w:szCs w:val="28"/>
          <w:lang w:eastAsia="tr-TR"/>
        </w:rPr>
      </w:pPr>
      <w:r w:rsidRPr="00DA3794">
        <w:rPr>
          <w:rFonts w:ascii="Times New Roman" w:eastAsia="Times New Roman" w:hAnsi="Times New Roman" w:cs="Times New Roman"/>
          <w:color w:val="000000"/>
          <w:sz w:val="28"/>
          <w:szCs w:val="28"/>
          <w:lang w:eastAsia="tr-TR"/>
        </w:rPr>
        <w:t> </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Döviz Kuru Mekanizması / Avrupa Döviz Kuru Mekanizması</w:t>
      </w:r>
    </w:p>
    <w:p w:rsidR="00497A84" w:rsidRPr="00DA3794" w:rsidRDefault="00497A84" w:rsidP="00497A84">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Exchange Rate Mechanism / European Exchange Rate Mechanism (ERM)</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Döviz Kuru Mekanizması, bir ekonomik topluluğun üye ülkelerinin kendi para birimleri arasındaki döviz kuru paritesini korumak için uyguladıkları mekanizmadır. Söz konusu ülkelerin para birimlerinin, önceden belirlenen bir sınır içinde birbirleri arasında dalgalanmasına izin verilmektedir. İki para birimi arasında takip edilen döviz kurunun söz konusu sınırı aşması halinde, iki ülkenin merkez bankaları, söz konusu para birimlerini belirlenen sınırlar içine geri getirmek için müdahalede bulunmaktadır.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Döviz Kuru Mekanizması, döviz kurunun dengelenmesine yardımcı olmak amacıyla ve tek para birimi olarak avronun piyasaya sürülmesinden önce Avrupa’nın parasal istikrarlı bir alana dönüştürülmesi için, AB Üye Devletleri tarafından oluşturulmuştur. Bu sistem ile döviz kurunda belli bir sınırın aşılmaması amacıyla, bazı Avrupa ülkeleri kendi para birimlerinin değerini kontrol altına alma yönünde karar almışlardır.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Döviz Kuru Mekanizması II (ERM II), Avrupa Döviz Kuru Mekanizması’nın devamı olarak 1 Ocak 1999 tarihinde kurulmuştur. Bu mekanizma, avro ve diğer AB para birimleri arasında meydana gelecek döviz kuru dalgalanmalarının Tek Pazar içinde ekonomik istikrarsızlık yaratmaması amacıyla kurulmuştur. Bu sistem ile ayrıca, Avro Alanı’na henüz dâhil olmamış ülkelerin hazırlanarak, Avro Alanı’na dâhil edilmelerine yardımcı olunması hedeflenmektedir. Her ne kadar bu sisteme gönüllü olarak dâhil olunsa da ülkenin Avro Alanı’na girmeden önce, döviz kuruna ilişkin uyum kriteri kapsamında en az iki yıl boyunca ERM II sistemine dâhil olmuş olması beklenmektedir.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ERM II’de, Avro Alanı’na dâhil olmamış bir ülkenin döviz kuru avroya göre sabitlenmekte ve sadece belirlenen sınır için dalgalanmasına izin verilmektedir. ERM II sistemine dâhil olunması, Avro Alanı’nın üye ve üye olmayan ülke bakanları ve merkez bankası başkanı ile Avrupa Merkez Bankası arasındaki bir anlaşmaya dayalıdır. Bu anlaşma kapsamında yer alan önemli hususlar şu şekilde sıralanabilir:</w:t>
      </w:r>
    </w:p>
    <w:p w:rsidR="00497A84" w:rsidRPr="00DA3794" w:rsidRDefault="00497A84" w:rsidP="00497A84">
      <w:pPr>
        <w:numPr>
          <w:ilvl w:val="0"/>
          <w:numId w:val="9"/>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Avro ve ülkenin para birimi arasında ana bir döviz kuru üzerinde anlaşılır ve söz konusu para birimi bu ana oranın üze- rinde ya da altında yüzde 15’e kadar dalgalanabilir,</w:t>
      </w:r>
    </w:p>
    <w:p w:rsidR="00497A84" w:rsidRPr="00DA3794" w:rsidRDefault="00497A84" w:rsidP="00497A84">
      <w:pPr>
        <w:numPr>
          <w:ilvl w:val="0"/>
          <w:numId w:val="9"/>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Gerektiği takdirde, avroya karşı döviz kurunu ± yüzde 15 oranında dalgalanma sınırında (fluctuation band) tutmak için para birimine müdahale (satın alma ya da satış) desteklenir. Bu müdahalelerin, Avrupa Merkez Bankası ve Avro Alanı’na dâhil olmayan ülkelerin merkez bankaları tarafından koordine edilmesi öngörülmüştür,</w:t>
      </w:r>
    </w:p>
    <w:p w:rsidR="00497A84" w:rsidRPr="00DA3794" w:rsidRDefault="00497A84" w:rsidP="00497A84">
      <w:pPr>
        <w:numPr>
          <w:ilvl w:val="0"/>
          <w:numId w:val="9"/>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Avro Alanı’na dâhil olmayan ülkeler, ERM II nezdinden daha dar bir dalgalanma sınırı benimseyebilirler ancak ERM II’nin ilgili paydaşları arasında aksi yönde bir anlaşma olmadığı takdirde, ± yüzde 15 oranında bir değişiklik söz konusu değildir,</w:t>
      </w:r>
    </w:p>
    <w:p w:rsidR="00497A84" w:rsidRPr="00DA3794" w:rsidRDefault="00497A84" w:rsidP="00497A84">
      <w:pPr>
        <w:numPr>
          <w:ilvl w:val="0"/>
          <w:numId w:val="9"/>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Merkez Bankası’nın Genel Kurulu, ERM II’nin işlemlerini kontrol etmekte ve parasal ve döviz kuru politikaları arasında koordinasyonu sağlamaktadır. Ayrıca Genel Kurul, Üye Devletlerin merkez bankası ile müdahale mekanizmalarını yönetmektedir.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Hâlihazırda, ERM II sisteminde Danimarka, Litvanya ve Letonya yer almaktadır.</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Dünya Bankası</w:t>
      </w:r>
    </w:p>
    <w:p w:rsidR="00497A84" w:rsidRPr="00DA3794" w:rsidRDefault="00497A84" w:rsidP="00497A84">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World Bank</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Dünya Bankası, İkinci Dünya Savaşı’nın ardından, 1945 yılında Uluslararası Yeniden Yapılanma ve Kalkınma Bankası (International Bank for Reconstruction and Development - IBRD) adıyla kurulmuş, 1947 yılında Birleşmiş Milletler’in özerk uzman kuruluşlarından biri olma özelliği kazanmıştır.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Günümüzde dünya devletlerinin 188’i, Dünya Bankası’na üyedir. Bunlardan 11’i, Dünya Bankası sermayesinin yüzde 55’ine sahiptir. Dünya Bankası, Guvernörler Kurulu, İcra Direktörleri Kurulu ve Başkanlık Organları tarafından yönetilmektedir. Guvernörler Kurulu, üye devletlerin atadıkları birer guvernör ve vekilinden oluşmakta ve yılda bir kez toplanmaktadır. İcra Direktörleri Kurulu ise iki yıl için görevlendirilen 24 üyeli ve sürekli karar organıdır.</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Dünya Ekonomik Forumu</w:t>
      </w:r>
    </w:p>
    <w:p w:rsidR="00497A84" w:rsidRPr="00DA3794" w:rsidRDefault="00497A84" w:rsidP="00497A84">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World Economic Forum</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Dünya Ekonomik Forumu, merkezi İsviçre’nin Cenevre kentinde yer alan uluslararası bir vakıftır ve her yıl, İsviçre’nin Davos kasabasında toplanmaktadır. Dünyanın en tanınmış iş insanları ve siyasetçilerini bir araya getiren, dünyanın en önemli sorunlarının tartışıldığı konferanslarıyla tanınır.</w:t>
      </w:r>
    </w:p>
    <w:p w:rsidR="00497A84" w:rsidRPr="00DA3794" w:rsidRDefault="00497A84">
      <w:pPr>
        <w:rPr>
          <w:rFonts w:ascii="Times New Roman" w:hAnsi="Times New Roman" w:cs="Times New Roman"/>
          <w:sz w:val="28"/>
          <w:szCs w:val="28"/>
        </w:rPr>
      </w:pPr>
    </w:p>
    <w:p w:rsidR="00497A84" w:rsidRPr="00DA3794" w:rsidRDefault="00497A84">
      <w:pPr>
        <w:rPr>
          <w:rFonts w:ascii="Times New Roman" w:hAnsi="Times New Roman" w:cs="Times New Roman"/>
          <w:sz w:val="28"/>
          <w:szCs w:val="28"/>
        </w:rPr>
      </w:pPr>
    </w:p>
    <w:p w:rsidR="00497A84" w:rsidRPr="00DA3794" w:rsidRDefault="00497A84" w:rsidP="00497A84">
      <w:pPr>
        <w:spacing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E</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Ekonomik Hassasiyet Göstergesi</w:t>
      </w:r>
    </w:p>
    <w:p w:rsidR="00497A84" w:rsidRPr="00DA3794" w:rsidRDefault="00497A84" w:rsidP="00497A84">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Economic Sentiment Indicator (ESI)</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Ekonomik Hassasiyet Göstergesi, farklı ağırlık taşıyan beş sektörel güven göstergesinden oluşan bileşik bir göstergedir. Bu göstergeler sanayi, hizmet sektörü, tüketici, inşaat sektörü ve perakende sektörü güven göstergelerinden oluşmaktadır. Güven göstergeleri, izlemek istediği referans değişken ile ilgili bazı sorulara verilen cevapların mevsimsellikten arındırılmış aritmetik ortalamalarıdır. Anketler, Avrupa Komisyonu’nun Ekonomik ve Mali İşler Genel Müdürlüğü tarafından yapılmaktadır. Anketler, Ortak Uyumlu AB İş ve Tüketici Anketleri Programı kapsamında tanımlanmaktadır.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Ekonomik Hassasiyet Göstergesi, ortalama değeri 100 olan ve standart sapması belirli bir standart örneklem döneminde 10 olan bir endeks olarak hesaplanmaktadır. Ekonomik Hassasiyet Göstergesi, Avrupa’nın ekonomik sağlığını ölçen bir barometre olarak görülebilir. Tüm AB Bölgesi, Üye Devletler ve ilgili sektörlerdeki durumun genel bir görünümünü sunmaktadır. AB ve Üye Devletler açısından geleceğe dönük ekonomik planlama yapılmasında ve ekonomik alandaki potansiyel problemlerin fark edilmesinde önemli bir rol oynamaktadır.</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Ekonomik ve Parasal Birlik</w:t>
      </w:r>
    </w:p>
    <w:p w:rsidR="00497A84" w:rsidRPr="00DA3794" w:rsidRDefault="00497A84" w:rsidP="00497A84">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Economic and Monetary Union (EMU)</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Ekonomik ve Parasal Birlik (EPB), Üye Devletlerin ekonomik ve parasal politikalarının uyumlulaştırılması ve ortak para birimi avronun yürürlüğe konulması sürecinde hayata geçirilmiştir. 1960’lı yıllara dayanan ve bazı siyasi ve ekonomik gelişmeler nedeniyle gerçekleştirilmesi geciken EPB’nin hayata geçirilmesi hedefi,1988 yılında AB Konseyi tarafından teyit edilmiş ve dönemin Avrupa Komisyonu Başkanı Jacques Delors başkanlığında bir komite, EPB’nin oluşturulması için gerekli aşamaların belirlenmesi ile yetkilendirilmiştir. Komite tarafından hazırlanan Delors Raporu, EPB’nin üç aşamada hayata geçirilmesi gerektiğini ortaya koymuştur.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EPB’nin oluşturulması kararı, Aralık 1991’de Hollanda’nın Maastricht kentinde alınmış ve daha sonra Avrupa Birliği Antlaşması’na (Bkz. Maastricht Antlaşması) dâhil edilmiştir. EPB, AB’yi, 1957 yılında kurulmasıyla birlikte başlayan “ekonomik bütünleşme” hedefi doğrultusunda daha da ileri taşımaktadır. Ekonomik bütünleşme, AB ve Üye Devletlerin eko- nomilerine daha büyük bir hacim, etkinlik ve güç getirmekte, bu da AB vatandaşlarına doğrudan yarar sağlayan ekonomik istikrar, daha yüksek büyüme oranları ve daha fazla istihdam gibi fırsatlar sunmaktadır.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EPB, pratikte, ekonomi politikalarının Üye Devletler arasında koordine edilmesini; kamu borcu ve bütçe açığı üzerindeki sınırlamalar aracılığıyla maliye politikalarının eşgüdümünün sağlanmasını; AMB tarafından uygulanmakta olan bağımsız bir para politikasını; ortak para birimini ve Avro Alanı’nı kapsamaktadır. EPB üç aşamada hayata geçirilmiştir: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w:t>
      </w:r>
    </w:p>
    <w:tbl>
      <w:tblPr>
        <w:tblW w:w="114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0"/>
        <w:gridCol w:w="3395"/>
        <w:gridCol w:w="6030"/>
      </w:tblGrid>
      <w:tr w:rsidR="00497A84" w:rsidRPr="00DA3794" w:rsidTr="00497A8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97A84" w:rsidRPr="00DA3794" w:rsidRDefault="00497A84" w:rsidP="00497A84">
            <w:pPr>
              <w:spacing w:before="150"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Birinci aşama</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84" w:rsidRPr="00DA3794" w:rsidRDefault="00497A84" w:rsidP="00497A84">
            <w:pPr>
              <w:spacing w:before="150"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(1 Temmuz 1990-31 Aralık 1993)</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84" w:rsidRPr="00DA3794" w:rsidRDefault="00497A84" w:rsidP="00497A84">
            <w:pPr>
              <w:spacing w:before="150"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Üye Devletler arasında sermayenin serbest dolaşımının, ekonomi</w:t>
            </w:r>
            <w:r w:rsidRPr="00DA3794">
              <w:rPr>
                <w:rFonts w:ascii="Times New Roman" w:eastAsia="Times New Roman" w:hAnsi="Times New Roman" w:cs="Times New Roman"/>
                <w:color w:val="333333"/>
                <w:sz w:val="28"/>
                <w:szCs w:val="28"/>
                <w:lang w:eastAsia="tr-TR"/>
              </w:rPr>
              <w:br/>
              <w:t> politikalarının yakın eşgüdümü ve Merkez Bankaları arasında yakın</w:t>
            </w:r>
            <w:r w:rsidRPr="00DA3794">
              <w:rPr>
                <w:rFonts w:ascii="Times New Roman" w:eastAsia="Times New Roman" w:hAnsi="Times New Roman" w:cs="Times New Roman"/>
                <w:color w:val="333333"/>
                <w:sz w:val="28"/>
                <w:szCs w:val="28"/>
                <w:lang w:eastAsia="tr-TR"/>
              </w:rPr>
              <w:br/>
              <w:t> işbirliğinin sağlanması.</w:t>
            </w:r>
          </w:p>
        </w:tc>
      </w:tr>
      <w:tr w:rsidR="00497A84" w:rsidRPr="00DA3794" w:rsidTr="00497A8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97A84" w:rsidRPr="00DA3794" w:rsidRDefault="00497A84" w:rsidP="00497A84">
            <w:pPr>
              <w:spacing w:before="150"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İkinci aşama</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84" w:rsidRPr="00DA3794" w:rsidRDefault="00497A84" w:rsidP="00497A84">
            <w:pPr>
              <w:spacing w:before="150"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(1 Ocak 1994 - 31 Aralık 1998)</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84" w:rsidRPr="00DA3794" w:rsidRDefault="00497A84" w:rsidP="00497A84">
            <w:pPr>
              <w:spacing w:before="150"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Fiyat istikrarının ve sağlam kamu finansmanının sağlanması</w:t>
            </w:r>
            <w:r w:rsidRPr="00DA3794">
              <w:rPr>
                <w:rFonts w:ascii="Times New Roman" w:eastAsia="Times New Roman" w:hAnsi="Times New Roman" w:cs="Times New Roman"/>
                <w:color w:val="333333"/>
                <w:sz w:val="28"/>
                <w:szCs w:val="28"/>
                <w:lang w:eastAsia="tr-TR"/>
              </w:rPr>
              <w:br/>
              <w:t> doğrultusunda, Üye Devletlerin ekonomik ve parasal politikalarının</w:t>
            </w:r>
            <w:r w:rsidRPr="00DA3794">
              <w:rPr>
                <w:rFonts w:ascii="Times New Roman" w:eastAsia="Times New Roman" w:hAnsi="Times New Roman" w:cs="Times New Roman"/>
                <w:color w:val="333333"/>
                <w:sz w:val="28"/>
                <w:szCs w:val="28"/>
                <w:lang w:eastAsia="tr-TR"/>
              </w:rPr>
              <w:br/>
              <w:t> uyumlaştırılması ve AMB’nin selefi Avrupa Para Enstitüsü’nün</w:t>
            </w:r>
            <w:r w:rsidRPr="00DA3794">
              <w:rPr>
                <w:rFonts w:ascii="Times New Roman" w:eastAsia="Times New Roman" w:hAnsi="Times New Roman" w:cs="Times New Roman"/>
                <w:color w:val="333333"/>
                <w:sz w:val="28"/>
                <w:szCs w:val="28"/>
                <w:lang w:eastAsia="tr-TR"/>
              </w:rPr>
              <w:br/>
              <w:t> (European Monetary Institute – EMI) kurulması.</w:t>
            </w:r>
          </w:p>
        </w:tc>
      </w:tr>
      <w:tr w:rsidR="00497A84" w:rsidRPr="00DA3794" w:rsidTr="00497A8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97A84" w:rsidRPr="00DA3794" w:rsidRDefault="00497A84" w:rsidP="00497A84">
            <w:pPr>
              <w:spacing w:before="150"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Üçüncü aşama</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84" w:rsidRPr="00DA3794" w:rsidRDefault="00497A84" w:rsidP="00497A84">
            <w:pPr>
              <w:spacing w:before="150"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(1 Ocak 1999 itibarıyla)</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84" w:rsidRPr="00DA3794" w:rsidRDefault="00497A84" w:rsidP="00497A84">
            <w:pPr>
              <w:spacing w:before="150"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Döviz kurunun daimi olarak sabitlenmesi ve dış döviz piyasalarında</w:t>
            </w:r>
            <w:r w:rsidRPr="00DA3794">
              <w:rPr>
                <w:rFonts w:ascii="Times New Roman" w:eastAsia="Times New Roman" w:hAnsi="Times New Roman" w:cs="Times New Roman"/>
                <w:color w:val="333333"/>
                <w:sz w:val="28"/>
                <w:szCs w:val="28"/>
                <w:lang w:eastAsia="tr-TR"/>
              </w:rPr>
              <w:br/>
              <w:t> ve  elektronik ödemelerde kullanılmak üzere ortak para biriminin</w:t>
            </w:r>
            <w:r w:rsidRPr="00DA3794">
              <w:rPr>
                <w:rFonts w:ascii="Times New Roman" w:eastAsia="Times New Roman" w:hAnsi="Times New Roman" w:cs="Times New Roman"/>
                <w:color w:val="333333"/>
                <w:sz w:val="28"/>
                <w:szCs w:val="28"/>
                <w:lang w:eastAsia="tr-TR"/>
              </w:rPr>
              <w:br/>
              <w:t> yürürlüğe  koyulması; Avro banknotlarının ve madeni paralarının</w:t>
            </w:r>
            <w:r w:rsidRPr="00DA3794">
              <w:rPr>
                <w:rFonts w:ascii="Times New Roman" w:eastAsia="Times New Roman" w:hAnsi="Times New Roman" w:cs="Times New Roman"/>
                <w:color w:val="333333"/>
                <w:sz w:val="28"/>
                <w:szCs w:val="28"/>
                <w:lang w:eastAsia="tr-TR"/>
              </w:rPr>
              <w:br/>
              <w:t> kullanılmaya başlanması.</w:t>
            </w:r>
          </w:p>
        </w:tc>
      </w:tr>
    </w:tbl>
    <w:p w:rsidR="00497A84" w:rsidRPr="00DA3794" w:rsidRDefault="00497A84" w:rsidP="00497A84">
      <w:pPr>
        <w:spacing w:after="0" w:line="240" w:lineRule="auto"/>
        <w:rPr>
          <w:rFonts w:ascii="Times New Roman" w:eastAsia="Times New Roman" w:hAnsi="Times New Roman" w:cs="Times New Roman"/>
          <w:color w:val="000000"/>
          <w:sz w:val="28"/>
          <w:szCs w:val="28"/>
          <w:lang w:eastAsia="tr-TR"/>
        </w:rPr>
      </w:pPr>
      <w:r w:rsidRPr="00DA3794">
        <w:rPr>
          <w:rFonts w:ascii="Times New Roman" w:eastAsia="Times New Roman" w:hAnsi="Times New Roman" w:cs="Times New Roman"/>
          <w:color w:val="000000"/>
          <w:sz w:val="28"/>
          <w:szCs w:val="28"/>
          <w:lang w:eastAsia="tr-TR"/>
        </w:rPr>
        <w:t> </w:t>
      </w:r>
    </w:p>
    <w:p w:rsidR="00497A84" w:rsidRPr="00DA3794" w:rsidRDefault="00497A84" w:rsidP="00497A84">
      <w:pPr>
        <w:spacing w:before="150"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w:t>
      </w:r>
    </w:p>
    <w:p w:rsidR="00497A84" w:rsidRPr="00DA3794" w:rsidRDefault="00497A84" w:rsidP="00497A84">
      <w:pPr>
        <w:spacing w:before="150" w:after="0" w:line="270" w:lineRule="atLeast"/>
        <w:ind w:left="137"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Hâlihazırda, EPB’nin üçüncü ve son aşamasına tam katılım sağlayan, bir diğer deyişle tek para birimi avroyu kullanan ve Avro Alanı’na dâhil olan 18 Üye Devlet bulunmaktadır. 1 Ocak 2015 tarihinde Litvanya da Avro Alanı'na dahil olacaktır. EPB’nin üçüncü aşamasına katılmayan ülkelerden İngiltere ve Danimarka, Avrupa Topluluğu’nu kuran Antlaşma’ya eklenen protokollerde, EPB’nin üçüncü aşamasına katılma niyetlerinin olmadığını ifade ederek Avro Alanı’na katılmamayı seçme hakkı (opt-out) elde etmişlerdir.</w:t>
      </w:r>
    </w:p>
    <w:p w:rsidR="00497A84" w:rsidRPr="00DA3794" w:rsidRDefault="00497A84" w:rsidP="00497A84">
      <w:pPr>
        <w:spacing w:before="150" w:after="0" w:line="270" w:lineRule="atLeast"/>
        <w:ind w:left="137"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İngiltere ve Danimarka ile Eylül 2003’te gerçekleşen referandum sonucunda ortak para birimini kullanmayı reddetmiş olan İsveç dışında, 1 Mayıs 2004 ve 1 Ocak 2007 tarihlerinde AB üyesi olan ülkeler, Maastricht Kriterleri’ni yerine getirmedikleri gerekçesiyle EPB’nin üçüncü aşamasından derogasyon elde etmişlerdir. Ancak Maastricht Kriterleri’ni yerine getirir getirmez avroyu kabul etmekle yükümlüdürler.</w:t>
      </w:r>
    </w:p>
    <w:p w:rsidR="00497A84" w:rsidRPr="00DA3794" w:rsidRDefault="00497A84" w:rsidP="00497A84">
      <w:pPr>
        <w:spacing w:before="150"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Ekonomik Yönetişim</w:t>
      </w:r>
    </w:p>
    <w:p w:rsidR="00497A84" w:rsidRPr="00DA3794" w:rsidRDefault="00497A84" w:rsidP="00497A84">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Economic Governance</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Küresel krizden önemli derecede etkilenen AB ülkeleri, kamu açığının yükselmesi, rekabet gücünün azalması, işsizliğin artması ve düşük ekonomik büyüme gibi ekonomik sorunlarla karşı karşıya kalmışlardır. Ekonomik ve mali kriz, üye ülkelerin sorunlarının birbirlerini etkilediğini, aynı zamanda çözüm için de üye ülkelerin birbirlerine gereksinim duyduklarını ve bu amaçla ortak hareket etmeleri gerektiğini ortaya koymuştur. Bu noktadan hareketle, sorunların çok boyutlu olduğu ve çözümün de çok boyutlu bir yaklaşımla ve üye ülkeler arasında koordinasyon sağlanarak geliştirilmesinin gerektiğine odaklanılmıştır. AB’de ekonomik yönetişim, bu ihtiyaca bir cevap olarak gelişmiştir. Ekonomik yönetişim, Avro Alanı’nı yöneten ekonomik ve mali kurallarda reform ve bütün olarak AB’de ekonomik ve mali politikaların koordinasyonu olarak tanımlanabilir. Bu kapsamda bir dizi mevzuat düzenlemesi ve önlemler kabul edilmiştir.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Bunlar şöyle sıralanabilir:</w:t>
      </w:r>
    </w:p>
    <w:p w:rsidR="00497A84" w:rsidRPr="00DA3794" w:rsidRDefault="00497A84" w:rsidP="00497A84">
      <w:pPr>
        <w:numPr>
          <w:ilvl w:val="0"/>
          <w:numId w:val="10"/>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İstikrar ve Büyüme Paktı’nın güçlendirilmesine yönelik maliye politikaları ve bütçe denetiminin yanı sıra AB’de makro- ekonomik dengesizliklerin daha kapsamlı ve gelişmiş gözetimine yönelik Altılı Paket,</w:t>
      </w:r>
    </w:p>
    <w:p w:rsidR="00497A84" w:rsidRPr="00DA3794" w:rsidRDefault="00497A84" w:rsidP="00497A84">
      <w:pPr>
        <w:numPr>
          <w:ilvl w:val="0"/>
          <w:numId w:val="10"/>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Avro Alanı ülkelerinin bütçelerinin denetlenmesi ve izlenmesi ile mali sorun yaşayan ülkelerin ekonomi politikalarının izlenmesine yönelik İkili Paket,</w:t>
      </w:r>
    </w:p>
    <w:p w:rsidR="00497A84" w:rsidRPr="00DA3794" w:rsidRDefault="00497A84" w:rsidP="00497A84">
      <w:pPr>
        <w:numPr>
          <w:ilvl w:val="0"/>
          <w:numId w:val="10"/>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Üye Devletlerde bütçe dengesinin gözetilerek mali disiplinin güçlendirilmesi amacıyla yürürlüğe giren Ekonomik ve Parasal Birlik’te İstikrar ile Koordinasyon ve Yönetişime ilişkin Antlaşma. Antlaşma ile otomatik yaptırımlar ve daha sıkı bir denetim için bütçe dengesi kuralı getirilmiştir. Yine Antlaşmayla, üye devletlerin yıllık yapısal bütçe açığının nominal GSYİH’ye oranının binde 5’i aşmaması gözetilerek, bu şartın ulusal anayasalarda yer alması öngörülmüştür,</w:t>
      </w:r>
    </w:p>
    <w:p w:rsidR="00497A84" w:rsidRPr="00DA3794" w:rsidRDefault="00497A84" w:rsidP="00497A84">
      <w:pPr>
        <w:numPr>
          <w:ilvl w:val="0"/>
          <w:numId w:val="10"/>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Üye ülkeler arasında rekabet gücünün ve istihdamın artırılması, kamu maliyesinde sürdürülebilirliğin sağlanması ve finansal istikrarın güçlendirilmesi amacıyla oluşturulan Avro Paktı,</w:t>
      </w:r>
    </w:p>
    <w:p w:rsidR="00497A84" w:rsidRPr="00DA3794" w:rsidRDefault="00497A84" w:rsidP="00497A84">
      <w:pPr>
        <w:numPr>
          <w:ilvl w:val="0"/>
          <w:numId w:val="10"/>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Üye ülkelerin bütçe ve ekonomi politikalarını, AB düzeyinde kabul edilmiş hedef ve kurallara uyumlaştırarak döngüsel bir süreç içinde koordine etmelerini amaçlayan Avrupa Sömestri. Avrupa Sömestri kapsamında, Avrupa 2020 Stratejisi’nin ortaya koyduğu büyüme ve istihdam stratejileri doğrultusunda yapısal reformlar, İstikrar ve Büyüme Paktı doğrultusunda mali politikalar ve aşırı makroekonomik dengesizliklerin önlenmesine yönelik olarak politika koor- dinasyonu sağlanmaktadır,</w:t>
      </w:r>
    </w:p>
    <w:p w:rsidR="00497A84" w:rsidRPr="00DA3794" w:rsidRDefault="00497A84" w:rsidP="00497A84">
      <w:pPr>
        <w:numPr>
          <w:ilvl w:val="0"/>
          <w:numId w:val="10"/>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2020 Stratejisi. Bu strateji, AB’nin ekonomik ve mali krizden çıkışını sağlamak amacıyla daha akıllı, sürdürülebilir ve kapsayıcı büyüme ve istihdam için stratejiler ortaya koyar. Avro Paktı ve Avrupa Sömestri’nin de çıkış noktası bu stratejidir.</w:t>
      </w:r>
    </w:p>
    <w:p w:rsidR="00497A84" w:rsidRPr="00DA3794" w:rsidRDefault="00497A84" w:rsidP="00497A84">
      <w:pPr>
        <w:numPr>
          <w:ilvl w:val="0"/>
          <w:numId w:val="10"/>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Mali sektörün desteklenmesi ve gözetilmesine yönelik mekanizmalar,</w:t>
      </w:r>
    </w:p>
    <w:p w:rsidR="00497A84" w:rsidRPr="00DA3794" w:rsidRDefault="00497A84" w:rsidP="00497A84">
      <w:pPr>
        <w:numPr>
          <w:ilvl w:val="0"/>
          <w:numId w:val="10"/>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Sistemik Risk Kurulu;</w:t>
      </w:r>
    </w:p>
    <w:p w:rsidR="00497A84" w:rsidRPr="00DA3794" w:rsidRDefault="00497A84" w:rsidP="00497A84">
      <w:pPr>
        <w:numPr>
          <w:ilvl w:val="0"/>
          <w:numId w:val="10"/>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Bankacılık Otoritesi,</w:t>
      </w:r>
    </w:p>
    <w:p w:rsidR="00497A84" w:rsidRPr="00DA3794" w:rsidRDefault="00497A84" w:rsidP="00497A84">
      <w:pPr>
        <w:numPr>
          <w:ilvl w:val="0"/>
          <w:numId w:val="10"/>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Menkul Kıymetler ve Piyasalar Otoritesi,</w:t>
      </w:r>
    </w:p>
    <w:p w:rsidR="00497A84" w:rsidRPr="00DA3794" w:rsidRDefault="00497A84" w:rsidP="00497A84">
      <w:pPr>
        <w:numPr>
          <w:ilvl w:val="0"/>
          <w:numId w:val="10"/>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Sigortacılık ve Emeklilik Otoritesi,</w:t>
      </w:r>
    </w:p>
    <w:p w:rsidR="00497A84" w:rsidRPr="00DA3794" w:rsidRDefault="00497A84" w:rsidP="00497A84">
      <w:pPr>
        <w:numPr>
          <w:ilvl w:val="0"/>
          <w:numId w:val="10"/>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Finansal İstikrar Fonu,</w:t>
      </w:r>
    </w:p>
    <w:p w:rsidR="00497A84" w:rsidRPr="00DA3794" w:rsidRDefault="00497A84" w:rsidP="00497A84">
      <w:pPr>
        <w:numPr>
          <w:ilvl w:val="0"/>
          <w:numId w:val="10"/>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İstikrar Mekanizması.</w:t>
      </w:r>
    </w:p>
    <w:p w:rsidR="00497A84" w:rsidRPr="00DA3794" w:rsidRDefault="00497A84" w:rsidP="00497A84">
      <w:pPr>
        <w:spacing w:before="150"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Ekonomiyi Canlandırma Paketi</w:t>
      </w:r>
    </w:p>
    <w:p w:rsidR="00497A84" w:rsidRPr="00DA3794" w:rsidRDefault="00497A84" w:rsidP="00497A84">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Economic Stimulus Package</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Ekonomiyi canlandırmak, ekonomik durgunluğun önüne geçmek ya da hâlihazırda ekonomik durgunluk yaşanıyorsa bu durumu tersine çevirebilmek amacıyla hükümetlerce hazırlanan çeşitli ekonomik önlemlerden oluşan paketlerdir. Küresel kriz döneminde, başta ABD olmak üzere pek çok ülke tarafından krizin etkilerinin azaltılması amacıyla ekonomiyi canlandırma tedbirleri uygulanmıştır.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ABD tarafından 2009 yılında kabul edilen Amerikan Kurtarma ve Yeniden Yatırım Yasası ile ekonomiyi canlandırmak amacıyla, 787 milyar dolar harcanacağı açıklanmıştır. Benzer şekilde, ekonomik krizdeki AB ekonomisinin de canlandırılması için, 11-12 Aralık 2008 tarihlerinde düzenlenen AB Konseyi Zirve Toplantısı’nda 200 milyar avroluk kaynak, Avrupa Ekonomik Kurtarma Planı adı altında ayrılmıştır.</w:t>
      </w:r>
    </w:p>
    <w:p w:rsidR="00497A84" w:rsidRPr="00DA3794" w:rsidRDefault="00497A84">
      <w:pPr>
        <w:rPr>
          <w:rFonts w:ascii="Times New Roman" w:hAnsi="Times New Roman" w:cs="Times New Roman"/>
          <w:sz w:val="28"/>
          <w:szCs w:val="28"/>
        </w:rPr>
      </w:pP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Fannie Mae ve Freddie Mac</w:t>
      </w:r>
    </w:p>
    <w:p w:rsidR="00497A84" w:rsidRPr="00DA3794" w:rsidRDefault="00497A84" w:rsidP="00497A84">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Fannie Mae &amp; Freddie Mac</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1938 yılında, Büyük Bunalım döneminde inşaat sanayine yardım amaçlı kurulan ve 1968 yılında özelleştirilen, Amerika’daki mevcut ve potansiyel ev sahiplerine ipotek parası sağlayan şirketlerdir. ABD hükümeti, Eylül 2008 tarihinde, konut kredisi sektörünün iki dev kuruluşu Fannie Mae ve Freddie Mac’in kontrolünü devralmak zorunda kalmış, bu iki şirkete toplam 200 milyar dolar nakit aktarılmıştır. Her iki şirketin çöküşü, küresel ekonomik krizin temellerini atmıştır.</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Finansal Denetim</w:t>
      </w:r>
    </w:p>
    <w:p w:rsidR="00497A84" w:rsidRPr="00DA3794" w:rsidRDefault="00497A84" w:rsidP="00497A84">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Financial Supervision</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2007 ve 2008’de ortaya çıkan finansal kriz, ulusal kurumların yapısı ve denetiminin yanı sıra genel olarak finansal sistemde ciddi eksikliklerin olduğunu ortaya koymuştur. Ulusal modellere dayanan denetim sistemlerinin, birbiriyle bağlantılı ve birbirine entegre olmuş Avrupa finansal piyasalarında yetersiz kaldığı görülmüştür. Mayıs 2009’da, Avrupa Komisyonu, finansal denetime ilişkin yeni bir kurumsal sistem için dizi reform önermiştir. Avrupa Finansal Denetim Sistemi, makro ve mikro ihtiyati denetimi içermektedir. Avrupa Sistemik Risk Kurulu’nun, makro ihtiyati gözetim ile finansal sistemin bütün olarak istikrarını gözetmesi ve finansal piyasalardaki zayıflıklar hakkında zamanında uyarılarda bulunması öngörülmüştür. Mikro ihtiyati denetimde ise üç kurumdan oluşan (Avrupa Bankacılık Otoritesi, Avrupa Sigortacılık ve Emeklilik Otoritesi ile Avrupa Menkul Kıymetler ve Piyasalar Otoritesi) Avrupa Denetim Kurumları ve ulusal denetim kurumlarının, finansal kurumları denetlemesi öngörülmüştür. Eylül 2012’de, Avrupa Komisyonu, AMB’ye bankacılık sektörünün denetimi konusunda daha fazla sorumluluk verilmesi konusunda öneride bulunmuştur. Ekonomik ve Parasal Birliğin güçlendirilmesi için Avrupa Merkez Bankası tarafından bankaların tek bir denetim mekanizmasıyla denetlenmesi öngörülmüştür.</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Finansal İstikrar Kurulu</w:t>
      </w:r>
    </w:p>
    <w:p w:rsidR="00497A84" w:rsidRPr="00DA3794" w:rsidRDefault="00497A84" w:rsidP="00497A84">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Financial Stability Board (FSB)</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2 Nisan 2009 tarihinde, G-20 tarafından kurulmuştur. Amacı, ulusal finans otoriteleri ve uluslararası standart koyucu kuruluşların çalışmalarını koordine etmek ve etkili düzenleyici, denetimsel ve diğer finansal sektör politikalarının uy</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gulanmasını geliştirmek ve teşvik etmektir. Önde gelen uluslararası finansal merkezlerinde, finansal istikrardan sorumlu olan ulusal otoriteleri, uluslararası finansal kurumları, sektördeki özel uluslararası düzenleyici ve denetim gruplanmalarını ve merkez bankası uzmanlarından oluşan komiteleri bir araya getirmektedir. Finansal İstikrar Kurulu’nun Başkanı, Kanada Merkez Bankası Guvernörü Mark Carney’dir. Sekretaryası ise İsviçre’nin Basel kentinde, Uluslararası Ödemeler Bankası’nda görev yapmaktadır.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1999 yılında G-7 Maliye Bakanları ve Merkez Bankası Guvernörleri tarafından kurulan Mali İstikrar Forumu’nun yerini almıştır. Mali İstikrar Forumu’nun amacı, çeşitli ulusal ve uluslararası gözetim ve finans kuruluşları arasında iş birliğini artırmak suretiyle uluslararası finansal sistemde istikrarı sağlamaktı. Kasım 2008’de G-20 ülkelerinin liderleri, Mali İstikrar Forumu’nun genişletilmesi ve üye sayısının artırılması çağrısında bulunmuşlardır. Nisan 2009’da yapılan G-20 zirvesinde ise daha geniş bir yetkiye sahip olan Finansal İstikrar Kurulu, Mali İstikrar Forumu’nun yerini almıştır.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Finansal İstikrar Kurulu’nun görevleri arasında, finansal sistemi etkileyen kırılganlıkları değerlendirmek ve gerekli önlemleri gözetmek; finansal istikrardan sorumlu otoriteler arasında koordinasyon ve bilgi alışverişini desteklemek; piyasalardaki gelişmeler ve bunların finansal istikrar üzerindeki etkilerini izlemek ve tavsiyelerde bulunmak; düzenleyici standartların karşılanması ile ilgili tavsiyelerde bulunmak ve en iyi uygulamaları izlemek; uluslararası standart koyucu kuruluşların politika geliştirme çalışmalarını gözden geçirmek ve IMF ile erken uyarı egzersizleri gerçekleştirmek yer almaktadır.</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Finansal İşlemler Vergisi</w:t>
      </w:r>
    </w:p>
    <w:p w:rsidR="00497A84" w:rsidRPr="00DA3794" w:rsidRDefault="00497A84" w:rsidP="00497A84">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Financial Transaction Tax</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Finansal piyasalardaki dalgalanmaların önüne geçmek, daha adil ve eşit bir vergi düzeni sağlamak gibi nedenlerle önerilen vergi çeşididir. Kriz döneminde gündeme gelen finansal işlemler vergisi ile ilgili en önemli adım, Avrupa Komisyonu tarafından 28 Eylül 2011 tarihinde finansal işlemlerden alınması öngörülen ortak bir vergi sistemi ile ilgili bir yönerge tasarısının hazırlanmasıdır.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Ekonomik ve finansal kriz sonrasında, finansal sektörünün çoğunlukla KDV’den muaf olduğu ve kamu bütçesine daha adil bir katkı yapması gerektiği düşüncesi genel kabul görmeye başlamıştır. Komisyon tasarısı, tüm finansal işlemleri yani şirket hisseleri, bonolar, para piyasası araçları, kolektif yatırım birimleri, yapılandırılmış ürünler ve türev ürünler gibi finansal araçların alım satımını kapsamaktadır. Bunun koşulu, alım satımın en az bir tarafının bir AB üyesi devlette yerleşik olması ve bir Üye Devlette yerleşik olan bir finansal kurumunun işleme taraf olmasıdır. Söz konusu finansal kurum kendi adına, diğer bir şahıs adına veya işlemin bir tarafı adına hareket ediyor olabilir. Finansal kurumdan yatırım firması, organize piyasalar, kredi kurumları, sigorta ve reasürans işletmeleri, kolektif yatırım girişimleri ve yöneticileri, emeklilik fonları ve yöneticileri ve faaliyetlerinin önemli bir kısmının işlemlerden meydana geldiği diğer bazı işletmeler anlaşılmaktadır. Finansal İşlemler Vergisi, işlemin gerçekleştiği andan itibaren geçerlidir.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Üye Devletler tarafından alınması öngörülen minimum Finansal İşlemler Vergisi oranları şöyledir:</w:t>
      </w:r>
    </w:p>
    <w:p w:rsidR="00497A84" w:rsidRPr="00DA3794" w:rsidRDefault="00497A84" w:rsidP="00497A84">
      <w:pPr>
        <w:numPr>
          <w:ilvl w:val="0"/>
          <w:numId w:val="13"/>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Türev anlaşmaları dışındaki tüm finansal işlemler için binde 1,</w:t>
      </w:r>
    </w:p>
    <w:p w:rsidR="00497A84" w:rsidRPr="00DA3794" w:rsidRDefault="00497A84" w:rsidP="00497A84">
      <w:pPr>
        <w:numPr>
          <w:ilvl w:val="0"/>
          <w:numId w:val="13"/>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Türev anlaşmaları ile ilgili tüm finansal işlemler için on binde 1.</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AB Ekonomi ve Maliye Bakanları Konseyi’nde yapılan görüşmelerde, ortak bir finansal işlemler vergisi uygulanması konusunda tüm Üye Devletler arasında uzlaşma sağlanamamıştır. Bunun üzerine, 22 Ocak 2013 tarihinde, AB Bakanlar Konseyi Finansal İşlemler Vergisi’nin güçlendirilmiş iş birliği prosedürü kapsamında, 11 Üye Devlet tarafından kabul edilmesine onay vermiştir. Bu 11 AB üyesi devlet Fransa, Almanya, Belçika, Avusturya, Slovenya, Portekiz, Yunanistan, Slovakya, İtalya, İspanya ve Estonya’dır.</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Finansal Kurumların Yeniden Sermayelendirilmesi</w:t>
      </w:r>
    </w:p>
    <w:p w:rsidR="00497A84" w:rsidRPr="00DA3794" w:rsidRDefault="00497A84" w:rsidP="00497A84">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Recapitalisation of Financial Institutions</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AB’de yaşanan borç kriziyle birlikte, sorun yaşayan ülkelerdeki bankaların sermayeleri de erimeye başlamıştır. Borç kriziyle mücadele ve yeni krizlerin oluşmasının önlenmesi amacıyla AB’de devletler, ihtiyaç duyan bankalar ve kredi kurumlarına sermaye enjekte ederek yeniden sermayelendirilmelerini sağlamaktadır.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26 Ekim 2011 tarihindeki Avro Alanı Ekonomi ve Maliye Bakanları Zirvesi’nde, Sermaye Artırımının Finansmanı konusuna ilişkinin bazı kararlar alınmıştır. Öncelikli olarak özel sektör kaynaklarına başvurma yoluna gidilmesi öngörülmekle beraber, bu seçenekle başarı sağlanmaz ise ve gerek görüldüğü takdirde, ulusal hükümetlerin de devreye girmesi karara bağlanmıştır. Ancak bu da yeterli olmazsa, Avrupa Finansal İstikrar Mekanizması devreye girecektir.</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FTSE 100 Endeksi</w:t>
      </w:r>
    </w:p>
    <w:p w:rsidR="00497A84" w:rsidRPr="00DA3794" w:rsidRDefault="00497A84" w:rsidP="00497A84">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FTSE 100 Index</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Londra Borsası’nda piyasa değeri en yüksek 100 şirketin sıralandığı hisse senedi endeksine verilen isimdir. Dünyadaki hisse senedi piyasasının yüzde 7,8’ini temsil eden FTSE 100 Endeksi, İngiltere piyasasının ise yüzde 85,2’sini temsil etmektedir. Hâlihazırda Londra Borsası, Hindistan Ulusal Borsası ve diğer kurumlardaki finansal ürünlerin değerini belirle- mek için temel oluşturmaktadır.</w:t>
      </w:r>
    </w:p>
    <w:p w:rsidR="00497A84" w:rsidRPr="00DA3794" w:rsidRDefault="00497A84">
      <w:pPr>
        <w:rPr>
          <w:rFonts w:ascii="Times New Roman" w:hAnsi="Times New Roman" w:cs="Times New Roman"/>
          <w:sz w:val="28"/>
          <w:szCs w:val="28"/>
        </w:rPr>
      </w:pPr>
    </w:p>
    <w:p w:rsidR="00497A84" w:rsidRPr="00DA3794" w:rsidRDefault="00497A84">
      <w:pPr>
        <w:rPr>
          <w:rFonts w:ascii="Times New Roman" w:hAnsi="Times New Roman" w:cs="Times New Roman"/>
          <w:sz w:val="28"/>
          <w:szCs w:val="28"/>
        </w:rPr>
      </w:pPr>
    </w:p>
    <w:p w:rsidR="00497A84" w:rsidRPr="00DA3794" w:rsidRDefault="00497A84" w:rsidP="00497A84">
      <w:pPr>
        <w:pStyle w:val="Balk1"/>
        <w:spacing w:before="0" w:beforeAutospacing="0" w:after="0" w:afterAutospacing="0"/>
        <w:rPr>
          <w:color w:val="003F82"/>
          <w:sz w:val="28"/>
          <w:szCs w:val="28"/>
        </w:rPr>
      </w:pPr>
      <w:r w:rsidRPr="00DA3794">
        <w:rPr>
          <w:color w:val="003F82"/>
          <w:sz w:val="28"/>
          <w:szCs w:val="28"/>
        </w:rPr>
        <w:t>G</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G-7</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rStyle w:val="Vurgu"/>
          <w:color w:val="333333"/>
          <w:sz w:val="28"/>
          <w:szCs w:val="28"/>
        </w:rPr>
        <w:t>Group of Seven &amp; Group of Eight</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G-7, başlıca sanayileşmiş ülkeler olan ABD, Kanada, Fransa, Almanya, İtalya, Japonya ve İngiltere’nin liderlerini bir araya getiren gayri resmi bir forumdur.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G-7’nin temelleri, 1971 yılında Bretton Woods altın standardı sisteminin sona ermesi ve 1973 Petrol Krizi gibi gelişmelerin getirdiği belirsizliğin ekonomi ve maliye politikalarının en üst seviyede daha iyi koordine edilmesi ihtiyacını ortaya çıkarmasıyla; Fransa Cumhurbaşkanı Valery Giscard d’Estaing ve Almanya Şansöylesi Helmut Schmidt öncülüğünde atılmıştır. 1975 yılında ABD, İngiltere, Batı Almanya, Japonya ve İtalya’nın liderleri ilk kez Paris yakınlarındaki Rambouillet Şatosu’nda bir araya gelmiş, 1976 yılında Kanada’nın da gruba dâhil edilmesiyle G-7 oluşturulmuştur. 1998 yılında, bu yedi ülkeye Rusya’nın da katılmasıyla G-7, G-8 adını almıştır.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İlk zamanlarda toplantılara, Üye Devletlerin liderlerinin yanı sıra dışişleri ve maliye bakanları da katılırken, 1998 yılında İngiltere’nin önerisi ile G-7’nin gayri resmi küçük çaplı temel yapısını sürdürmek amacıyla, üye ülkelerin liderleri tarafından temsil edildiği G-7/G-8 Zirveleri ile bakanlar düzeyindeki toplantılar birbirinden ayrılmıştır. Buna bağlı ve Zirve’ye ek olarak, G-8 dışişleri bakanları da dış politika konularını ele almak üzere yılda bir kez bir araya gelmektedir. İstihdam, çevre ve kalkınma bakanları ise yılda bir kez toplanmaktadır. G-8 maliye bakanları, G-8 Zirvesi’nden önce bir araya gelmekle birlikte, yılda üç kez daha G-7 formatında toplanmaktadır. Avrupa Komisyonu, AMB ve Avro Grubu Başkanları da G-7 formatındaki bu toplantıların tümüne iştirak etmektedir.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G-8 Zirvesi, yılda bir kez G-8’in dönem başkanlığını elinde bulunduran ülkenin ev sahipliğinde, üye ülkelerinin liderlerinin yanı sıra Avrupa Komisyonu Başkanı ve AB Konseyi Başkanı’nın katılımıyla gerçekleşmektedir. Dönem başkanlığını elinde bulunduran ülke aynı zamanda Zirvenin gündemini de belirlenmesinde etkili olmaktadır. G-7/G-8 Zirveleri’nin gündemini genellikle küresel ekonomik görünüm, makroekonomik idare, uluslararası ticaret, enerji, iklim değişikliği ve gelişmekte olan ülkelerle ilişkiler gibi konular oluşturmaktadır. Özellikle son dönemde, insan haklarından bölgesel güvenliğe uzanan bir yelpazede siyasi ve güvenliğe ilişkin konular da G-8 Zirveleri’nin gündem maddeleri arasında yer almaya başlamıştır.</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G-8</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rStyle w:val="Vurgu"/>
          <w:color w:val="333333"/>
          <w:sz w:val="28"/>
          <w:szCs w:val="28"/>
        </w:rPr>
        <w:t>Group of Seven &amp; Group of Eight</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G-7, başlıca sanayileşmiş ülkeler olan ABD, Kanada, Fransa, Almanya, İtalya, Japonya ve İngiltere’nin liderlerini bir araya getiren gayri resmi bir forumdur.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G-7’nin temelleri, 1971 yılında Bretton Woods altın standardı sisteminin sona ermesi ve 1973 Petrol Krizi gibi gelişmelerin getirdiği belirsizliğin ekonomi ve maliye politikalarının en üst seviyede daha iyi koordine edilmesi ihtiyacını ortaya çıkarmasıyla; Fransa Cumhurbaşkanı Valery Giscard d’Estaing ve Almanya Şansöylesi Helmut Schmidt öncülüğünde atılmıştır. 1975 yılında ABD, İngiltere, Batı Almanya, Japonya ve İtalya’nın liderleri ilk kez Paris yakınlarındaki Rambouillet Şatosu’nda bir araya gelmiş, 1976 yılında Kanada’nın da gruba dâhil edilmesiyle G-7 oluşturulmuştur. 1998 yılında, bu yedi ülkeye Rusya’nın da katılmasıyla G-7, G-8 adını almıştır.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İlk zamanlarda toplantılara, Üye Devletlerin liderlerinin yanı sıra dışişleri ve maliye bakanları da katılırken, 1998 yılında İngiltere’nin önerisi ile G-7’nin gayri resmi küçük çaplı temel yapısını sürdürmek amacıyla, üye ülkelerin liderleri tarafından temsil edildiği G-7/G-8 Zirveleri ile bakanlar düzeyindeki toplantılar birbirinden ayrılmıştır. Buna bağlı ve Zirve’ye ek olarak, G-8 dışişleri bakanları da dış politika konularını ele almak üzere yılda bir kez bir araya gelmektedir. İstihdam, çevre ve kalkınma bakanları ise yılda bir kez toplanmaktadır. G-8 maliye bakanları, G-8 Zirvesi’nden önce bir araya gelmekle birlikte, yılda üç kez daha G-7 formatında toplanmaktadır. Avrupa Komisyonu, AMB ve Avro Grubu Başkanları da G-7 formatındaki bu toplantıların tümüne iştirak etmektedir.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G-8 Zirvesi, yılda bir kez G-8’in dönem başkanlığını elinde bulunduran ülkenin ev sahipliğinde, üye ülkelerinin liderlerinin yanı sıra Avrupa Komisyonu Başkanı ve AB Konseyi Başkanı’nın katılımıyla gerçekleşmektedir. Dönem başkanlığını elinde bulunduran ülke aynı zamanda Zirvenin gündemini de belirlenmesinde etkili olmaktadır. G-7/G-8 Zirveleri’nin gündemini genellikle küresel ekonomik görünüm, makroekonomik idare, uluslararası ticaret, enerji, iklim değişikliği ve gelişmekte olan ülkelerle ilişkiler gibi konular oluşturmaktadır. Özellikle son dönemde, insan haklarından bölgesel güvenliğe uzanan bir yelpazede siyasi ve güvenliğe ilişkin konular da G-8 Zirveleri’nin gündem maddeleri arasında yer almaya başlamıştır.</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G-20</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rStyle w:val="Vurgu"/>
          <w:color w:val="333333"/>
          <w:sz w:val="28"/>
          <w:szCs w:val="28"/>
        </w:rPr>
        <w:t>Group of Twenty</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Sanayileşmiş ülkeler ve yükselmekte olan ülkeler arasında, küresel ekonomik istikrara ilişkin önemli konularda açık ve yapıcı bir tartışma ve görüş alışverişi ortamı sağlanması amacıyla gayri resmi bir platform görevi gören G-20, dünya GSYİH’sinin yüzde 90’ını, uluslararası ticaretin yüzde 80’ini ve dünya nüfusunun üçte ikisini temsil eden 19 ülke (ABD, Almanya, Arjantin, Avustralya, Brezilya, Çin, Endonezya, Fransa, Güney Afrika, Hindistan, İtalya, Rusya, İngiltere, Japonya, Kanada, Güney Kore, Meksika, Suudi Arabistan, Türkiye) ve AB’den oluşmaktadır.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G-20’nin temelleri, 1990’lı yılların sonlarında yaşanan finansal krizlerin ardından, yükselmekte olan başlıca piyasa ekonomilerinin küresel ekonomik yönetişim merkezinde yeteri kadar temsil edilmediği düşüncesinden hareketle, 25 Eylül 1999’da ABD’nin başkenti Washington’da gerçekleşen G-7 Maliye Bakanları ve Merkez Bankası Başkanları Toplantısı’nda atılmıştır. G-20 maliye bakanları ve merkez bankası başkanları, ilk kez 15-16 Aralık 1999’da Berlin’de bir araya gelmişlerdir.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G-20’nin amaçları; küresel ekonomik istikrarın ve sürdürülebilir büyümenin sağlanması için üyeler arasında politika koordinasyonunun güçlendirilmesi, risklerin azaltılması ve gelecekteki krizlerin önlenmesi için finansal denetimin teşvik edilmesi ve uluslararası finansal mimarinin modernize edilmesi olarak sıralanmaktadır.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2008 yılına kadar G-20 kapsamındaki toplantılar, maliye bakanları ve merkez bankası başkanları düzeyinde gerçekleştirilmiş, 2008 yılında ise liderler düzeyine yükseltilmiştir. Görüşmelerin liderler düzeyine çıkarılmasında, küresel ve finansal krizin üstesinden gelinmesi ve gelecekte ortaya çıkabilecek krizlerin önlenmesi için bir çerçeve oluşturulmasının yanı sıra sürdürülebilir ve dengeli küresel büyümenin garanti altına alınması ve küresel yönetişim mimarisinin reforme edilmesi amaçları etkili olmuştur. G-20 liderleri ilk kez 2008 yılında, G-20’nin küresel ekonomik ve finansal krizin üstesinden gelinmesinde öncü bir rol üstlenmek üzere Washington’da bir araya gelmişlerdir.</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Güvenlik Duvarı</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rStyle w:val="Vurgu"/>
          <w:color w:val="333333"/>
          <w:sz w:val="28"/>
          <w:szCs w:val="28"/>
        </w:rPr>
        <w:t>Firewall</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Avro Alanı borç krizinde, krizin yayılmasını ve diğer ülkelere sıçramasını önlemek üzere ayrılan finansal kaynaklar (Avrupa Finansal İstikrar Mekanizması, Avrupa Finansal İstikrar Fonu ve Avrupa Kurtarma Fonu) için kullanılmaktadır.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Güvenlik duvarının büyüklüğü konusu, özellikle bu kaynaklara en fazla katkıda bulunan ülke olan Almanya’yı diğer Avro Alanı ülkeleriyle karşı karşıya getiren konuların başında gelmekle birlikte, 2011 ve 2012 yıllarında G-20 Zirvelerinde de, Avro Alanı ülkeleri ve diğer G-20 ülkelerini ayıran bir fay hattı olmaya devam etmiştir. G-20 ülkeleri ve IMF, Avro Alanı’ndaki krizin üstesinden gelinmesi için AB’nin öncelikle güvenlik duvarını güçlendirmesi gerektiğini vurgulamış ve ancak bu koşul sağlandığında daha güçlü bir güvenlik duvarı için katkıda bulunacaklarını belirtmiştir.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Ekonomik İşbirliği ve Kalkınma Örgütü’nün (Organisation for Economic Co-operation and Development - OECD), Avrupa Finansal İstikrar Mekanizması ve Avrupa Finansal İstikrar Fonu kaynaklarının birleştirilerek güvenlik duvarının 1 trilyon avroya yükseltilmesi çağrısı, Almanya tarafından kabul görmemiş ancak Avro Grubu, 30 Mart 2012 tarihinde Avrupa Finansal İstikrar Mekanizması ve Avrupa Finansal İstikrar Fonu kaynaklarının birleştirilerek borçlanma kapasitesinin 500 milyar avrodan 700 milyar avroya yükseltilmesine yeşil ışık yakmıştır. Böylece, ikili kredilerle AB fonlarından Yunanistan, İrlanda ve Portekiz’e ödenen 102 milyar avro ile birlikte güvenlik duvarı 800 milyar avroya ulaşmıştır.</w:t>
      </w:r>
    </w:p>
    <w:p w:rsidR="00497A84" w:rsidRPr="00DA3794" w:rsidRDefault="00497A84">
      <w:pPr>
        <w:rPr>
          <w:rFonts w:ascii="Times New Roman" w:hAnsi="Times New Roman" w:cs="Times New Roman"/>
          <w:sz w:val="28"/>
          <w:szCs w:val="28"/>
        </w:rPr>
      </w:pPr>
    </w:p>
    <w:p w:rsidR="00497A84" w:rsidRPr="00DA3794" w:rsidRDefault="00497A84">
      <w:pPr>
        <w:rPr>
          <w:rFonts w:ascii="Times New Roman" w:hAnsi="Times New Roman" w:cs="Times New Roman"/>
          <w:sz w:val="28"/>
          <w:szCs w:val="28"/>
        </w:rPr>
      </w:pPr>
    </w:p>
    <w:p w:rsidR="00497A84" w:rsidRPr="00DA3794" w:rsidRDefault="00497A84" w:rsidP="00497A84">
      <w:pPr>
        <w:pStyle w:val="Balk1"/>
        <w:spacing w:before="0" w:beforeAutospacing="0" w:after="0" w:afterAutospacing="0"/>
        <w:rPr>
          <w:color w:val="003F82"/>
          <w:sz w:val="28"/>
          <w:szCs w:val="28"/>
        </w:rPr>
      </w:pPr>
      <w:r w:rsidRPr="00DA3794">
        <w:rPr>
          <w:color w:val="003F82"/>
          <w:sz w:val="28"/>
          <w:szCs w:val="28"/>
        </w:rPr>
        <w:t>H</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Hedge Fonları / Serbest Yatırım Fonları</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rStyle w:val="Vurgu"/>
          <w:color w:val="333333"/>
          <w:sz w:val="28"/>
          <w:szCs w:val="28"/>
        </w:rPr>
        <w:t>Hedge Funds</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Özel bir tür yatırım fonlarına verilen isimdir. Farklı piyasalara, yatırım araçlarına ve stratejilere yatırım yaparlar. Pek çok kişinin küresel ekonomik krizin sebeplerinden biri olarak hedge fonları göstermesinin sebebi, bu fonların yüksek kâr amacıyla kısa vadeli hareket etmeleridir. Ülkemizde Sermeye Piyasası Kurulu tarafından “serbest yatırım fonları” olarak adlandırılan hedge fonlar, katılma payları sadece nitelikli yatırımcılara satılmak üzere kurulmuş olan ve mevzuatta yer alan portföy sınırlamalarına istisna tutulan fonlar olarak tanımlanmıştır.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AB’de hedge fonlarla ilgili temel düzenleme, 2011/61/EU Sayılı Alternatif Yatırım Fonları Yöneticilerine İlişkin Yönerge’dir. Yönerge ile ilk defa alternatif yatırım fonları yöneticilerinin izlenmesi ve denetimi için kapsamlı ve güvenli bir yasal çerçeve oluşturulmuştur.</w:t>
      </w:r>
    </w:p>
    <w:p w:rsidR="00497A84" w:rsidRPr="00DA3794" w:rsidRDefault="00497A84">
      <w:pPr>
        <w:rPr>
          <w:rFonts w:ascii="Times New Roman" w:hAnsi="Times New Roman" w:cs="Times New Roman"/>
          <w:sz w:val="28"/>
          <w:szCs w:val="28"/>
        </w:rPr>
      </w:pPr>
    </w:p>
    <w:p w:rsidR="00497A84" w:rsidRPr="00DA3794" w:rsidRDefault="00497A84">
      <w:pPr>
        <w:rPr>
          <w:rFonts w:ascii="Times New Roman" w:hAnsi="Times New Roman" w:cs="Times New Roman"/>
          <w:sz w:val="28"/>
          <w:szCs w:val="28"/>
        </w:rPr>
      </w:pPr>
    </w:p>
    <w:p w:rsidR="00497A84" w:rsidRPr="00DA3794" w:rsidRDefault="00497A84" w:rsidP="00497A84">
      <w:pPr>
        <w:pStyle w:val="Balk1"/>
        <w:spacing w:before="0" w:beforeAutospacing="0" w:after="0" w:afterAutospacing="0"/>
        <w:rPr>
          <w:color w:val="003F82"/>
          <w:sz w:val="28"/>
          <w:szCs w:val="28"/>
        </w:rPr>
      </w:pPr>
      <w:r w:rsidRPr="00DA3794">
        <w:rPr>
          <w:color w:val="003F82"/>
          <w:sz w:val="28"/>
          <w:szCs w:val="28"/>
        </w:rPr>
        <w:t>İ</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İkili Paket</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rStyle w:val="Vurgu"/>
          <w:color w:val="333333"/>
          <w:sz w:val="28"/>
          <w:szCs w:val="28"/>
        </w:rPr>
        <w:t>Two Pack</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AB’de ekonomik yönetişimin güçlendirilmesi için oluşturulan bir mevzuat paketidir. 12 Mart 2013 tarihinde AB Bakanlar Konseyi ve Avrupa Parlamentosu, İkili Paket üzerinde mutabakata varmıştır. Bu şekilde, Avro Alanı’nda bütçe deneti- minin sağlanması için oluşturulan süreç tamamlanmıştır.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İkili Paket, Avrupa Sömestri adı altındaki ekonomik koordinasyon sürecinin yasal tabanını güçlendirmekte ve Avrupa Komisyonu’nun, Avro Alanı üyesi devletlerin, AB İstikrar ve Büyüme Paktı kapsamında belirlenen mali hedefleri yerine getirmek için yaptıklarını değerlendirmesine yardımcı olmaktadır. Ciddi zorluk yaşayan veya AB tarafından kurtarma paketi sunulan ülkeler için ise çok detaylı prosedürler öngörmektedir.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İkili Paket kapsamındaki ilk tüzüğe göre, tüm Avro Alanı ülkelerinin her yıl 15 Ekim’e kadar Avrupa Komisyonu’na bütçe tasarılarını sunmaları, Komisyon’un bunları değerlendirmesi ve gerekiyorsa bir görüş bildirmesi istenmektedir. Komisyon, bütçe tasarılarının revize edilmesini de isteyebilir. Avrupa Komisyonu, her yıl 30 Kasım’a kadar bütçe inceleme sürecini tamamlayacak ve gelecek yıl için tüm Avro Alanı’nı kapsayan bir bütçe görünümü değerlendirmesi yayımlayacaktır. Komisyon’un ulusal bütçeler ve Avro Alanı ile ilgili değerlendirmeleri, Avro Grubu’nda görüşülecektir. Aşırı açık prosedüründe olan Avro Alanı ülkeleri ise yakından izlenecektir.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İkili Paket kapsamındaki ikinci tüzük, finansal açıdan zor durumda olan ve mali yardım alan / yardımı geri ödeme sürecinde olan tüm Avro Alanı ülkelerinin güçlendirilmiş denetimi için detaylı kural ve prosedürler ortaya koymaktadır. Bu denetim sonucunda Avrupa Komisyonu, Avro Alanı’nın finansal istikrarı için olumsuz etkileri olabileceğini düşündüğü bir Üye Devletin ek önlemler alması gerektiği sonucuna varabilir ve AB Bakanlar Konseyi’ne söz konusu Üye Devletin düzeltici önlemler alması veya bir makroekonomik uyum programı oluşturmasını tavsiye etmesini önerebilir.</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İstikrar ve Büyüme Paktı</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rStyle w:val="Vurgu"/>
          <w:color w:val="333333"/>
          <w:sz w:val="28"/>
          <w:szCs w:val="28"/>
        </w:rPr>
        <w:t>Stability and Growth Pact</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1997 yılında kabul edilen ve 2005 ile 2011 yıllarında reforma tabi tutulan İstikrar ve Büyüme Paktı, Maastricht Antlaşması’nda Üye Devletlerin maliye politikalarının gözetlenmesi ve bütçe açıklarının izlenmesine ilişkin hükümleri açıklamaktadır. İstikrar ve Büyüme Paktı ile aşırı bütçe açıklarından kaçınılması için iki kollu bir strateji öngörülmektedir. Bunlar, önleyici kol (preventive arm) ve düzeltici kollardır (corrective arm).</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İstikrar ve Büyüme Paktı, önleyici tedbirler ile orta vadede Üye Devletlerin mali planlamaları ve politikaları için parametreler belirleyerek sağlam maliye politikaları yürütülmesinin sağlanmasını hedeflemektedir. Önleyici tedbirleri kapsamında Üye Devletlerin orta vadeli mali planlarına ilişkin hazırladıkları taslak, Avrupa Sömestri altında çok taraflı mali kontrol çerçevesinde yıllık olarak değerlendirilmektedir.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Düzeltici tedbirler ile aşırı bir açık kaydedilmesi durumunda, ülkelerin gerekli düzeltici eylemleri almaları için bir çer- çeve oluşturulmaktadır. Düzeltici tedbirler, aşırı açık prosedürü kapsamında devreye girmektedir. Bir diğer deyiş ile; Üye Devletin bütçe açığı GSYİH’nin yüzde 3’ü üzerine ya da kamu borcu GSYİH’nin yüzde 60’ını geçtiğinde, düzeltici önlemlerinin alınması gerekmektedir.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İstikrar ve Büyüme Paktı’nın bu önlemlerine uyulmadığı takdirde, Avro Alanı’na dâhil ülkelere karşı yaptırımların uygu- lanması öngörülmektedir. Düzeltici tedbirler kapsamında, Avro Alanı’na üye ülkelere yıllık para cezası uygulanması ve tüm ülkeler için aşırı bütçe açığı düzeltilmediği takdirde, uyum fonundan yararlanma imkânının askıya alınması öngörülmüştür.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AB’nin İşleyişine Dair Antlaşma’nın 121'inci ve 126'ncı Maddeleri, İstikrar ve Büyüme Paktı’nın temellerini oluşturmaktadır. Antlaşmanın 121'inci Maddesi İstikrar ve Büyüme Paktı’nın önleyici tedbirlerini, 126'ncı Maddesi ise İstikrar ve Büyüme Paktı’nın düzeltici tedbirlerinin yasal zeminini oluşturmaktadır. Antlaşmaya ekli 12'nci Protokol’de, aşırı açık prosedürü ve özellikle bütçe açığı ile kamu borcuna ilişkin referans olarak alınacak oranlar belirtilmiştir.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İstikrar ve Büyüme Paktı’na ilişkin ikincil mevzuat, 7 Temmuz 1997 tarihli ve 1466/97 ve 1467/97 Sayılı Konsey Tüzükleri ile kabul edilmiş, daha sonra 2005 ve 2011 yıllarında İstikrar ve Büyüme Paktı’nda önemli reformlar yapılmıştır. 2005 yılında yapılan reformlar ile İstikrar ve Büyüme Paktı kapsamında, ekonomik yönetişimin ve önleyici tedbirlerin güçlendirilmesinin yanı sıra aşırı bütçe açığı prosedürünün uygulanmasının geliştirilmesi amaçlanmıştır. Bu reform kapsamında, önleyici tedbirler alanında, Üye Devletlerin ekonomik farklılıkları göz önünde tutularak, her ülkenin farklı orta vadeli bütçe hedefler belirlemesine izin verilmesi kararlaştırılmıştır. Ayrıca, yapısal reformların bütçe üzerindeki etkisinin de dikkate alınması gerektiği konusu vurgulanmıştır. 2005 yılında yapılan reform ile düzeltici tedbirler alanında getirilen en önemli değişiklik ise ciddi ekonomik darboğaz (GSYİH’nin yüzde 2 daralması) gibi istisnai ve geçici durumlarda, bütçe açığının yüzde 3’ü aşmasına izin verilmesidir. Altılı Paket olarak da adlandırılan 2011 reformu ile en son küresel krizle ortaya çıkan zayıf ve eksik noktaların üstesinden gelinmesi hedeflenmiştir. Ayrıca mali gözetimi ve özellikle Avro Alanı’nda mali koordinasyonu güçlendirmeye yönelik olarak tasarlanan ve İkili Paket olarak adlandırılan iki ilave öneri ile de İstikrar ve Büyüme Paktı’ daha da güçlendirilmiştir.</w:t>
      </w:r>
    </w:p>
    <w:p w:rsidR="00497A84" w:rsidRPr="00DA3794" w:rsidRDefault="00497A84">
      <w:pPr>
        <w:rPr>
          <w:rFonts w:ascii="Times New Roman" w:hAnsi="Times New Roman" w:cs="Times New Roman"/>
          <w:sz w:val="28"/>
          <w:szCs w:val="28"/>
        </w:rPr>
      </w:pPr>
    </w:p>
    <w:p w:rsidR="00497A84" w:rsidRPr="00DA3794" w:rsidRDefault="00497A84">
      <w:pPr>
        <w:rPr>
          <w:rFonts w:ascii="Times New Roman" w:hAnsi="Times New Roman" w:cs="Times New Roman"/>
          <w:sz w:val="28"/>
          <w:szCs w:val="28"/>
        </w:rPr>
      </w:pPr>
    </w:p>
    <w:p w:rsidR="00497A84" w:rsidRPr="00DA3794" w:rsidRDefault="00497A84" w:rsidP="00497A84">
      <w:pPr>
        <w:pStyle w:val="Balk1"/>
        <w:spacing w:before="0" w:beforeAutospacing="0" w:after="0" w:afterAutospacing="0"/>
        <w:rPr>
          <w:color w:val="003F82"/>
          <w:sz w:val="28"/>
          <w:szCs w:val="28"/>
        </w:rPr>
      </w:pPr>
      <w:r w:rsidRPr="00DA3794">
        <w:rPr>
          <w:color w:val="003F82"/>
          <w:sz w:val="28"/>
          <w:szCs w:val="28"/>
        </w:rPr>
        <w:t>K</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Kamu Borcu Krizi</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rStyle w:val="Vurgu"/>
          <w:color w:val="333333"/>
          <w:sz w:val="28"/>
          <w:szCs w:val="28"/>
        </w:rPr>
        <w:t>Sovereign Debt Crisis</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Kamu borcu krizi, iç ve dış borçlarının sürdürülebilir düzeyi aşması halinde ortaya çıkmaktadır. Borçlanma oranı arttıkça uluslararası piyasaların o ülkeye duyduğu güven de azalır ve devlet, kendisine kredi ve borç veren kişi ve kuruluşlardan uygun faizlerle borçlanmakta zorluk yaşamaya başlar. Faizler arttıkça, söz konusu devletin kamu borcunu sürdürmesi ve finanse etmesi giderek zorlaşır. AB içinde Yunanistan, İrlanda, İtalya, Portekiz ve İspanya bu süreci yaşamıştır. ABD’de başlayan 2008 mali krizi, özellikle Avro Alanı’ndaki bazı ülkelerin mali politikalarındaki yanlışları su yüzüne çıkarmıştır. Nitekim bütçe harcamalarını kontrol altına alamayan ve gerekli yapısal reformları tamamlayamayan Yunanistan, küresel büyümedeki azalmanın etkilerini ilk olarak hisseden ülkelerden olmuştur. Yunanistan’da 2009 yılında hükümet, bütçe açığının GSYİH’ye oranının Maastricht Kriterleri kapsamında izin verilen yüzde 3 oranının üzerinde, yüzde 12,9 olduğunu açıklamış, ardından kredi derecelendirme kuruluşlarının Yunanistan’ın kredi derecesini indirmesi ise faiz oranlarının yükselmesine sebep olmuştur. 2012 yılında Yunanistan’ın kamu borcunun GSYİH’ye oranı yüzde 175’e çıkmıştır. Birçok Avrupa bankası da Yunanistan’da yatırım yapmış olduğu için, Yunanistan borç krizi, Avro Alanı’ndaki diğer ülkelere de sıçramıştır.</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Kemer Sıkma Önlemleri</w:t>
      </w:r>
    </w:p>
    <w:p w:rsidR="00497A84" w:rsidRPr="00DA3794" w:rsidRDefault="00497A84" w:rsidP="00497A84">
      <w:pPr>
        <w:pStyle w:val="NormalWeb"/>
        <w:spacing w:before="150" w:beforeAutospacing="0" w:after="0" w:afterAutospacing="0" w:line="270" w:lineRule="atLeast"/>
        <w:ind w:left="117" w:right="300"/>
        <w:rPr>
          <w:color w:val="333333"/>
          <w:sz w:val="28"/>
          <w:szCs w:val="28"/>
        </w:rPr>
      </w:pPr>
      <w:r w:rsidRPr="00DA3794">
        <w:rPr>
          <w:rStyle w:val="Vurgu"/>
          <w:color w:val="333333"/>
          <w:sz w:val="28"/>
          <w:szCs w:val="28"/>
        </w:rPr>
        <w:t>Austerity Measures</w:t>
      </w:r>
    </w:p>
    <w:p w:rsidR="00497A84" w:rsidRPr="00DA3794" w:rsidRDefault="00497A84" w:rsidP="00497A84">
      <w:pPr>
        <w:pStyle w:val="NormalWeb"/>
        <w:spacing w:before="150" w:beforeAutospacing="0" w:after="0" w:afterAutospacing="0" w:line="270" w:lineRule="atLeast"/>
        <w:ind w:left="117" w:right="300"/>
        <w:jc w:val="both"/>
        <w:rPr>
          <w:color w:val="333333"/>
          <w:sz w:val="28"/>
          <w:szCs w:val="28"/>
        </w:rPr>
      </w:pPr>
      <w:r w:rsidRPr="00DA3794">
        <w:rPr>
          <w:color w:val="333333"/>
          <w:sz w:val="28"/>
          <w:szCs w:val="28"/>
        </w:rPr>
        <w:t>Kamu gelirini artırarak hükümetin borçlanmasını, kamu borcunu ve kamu açığını azaltmayı amaçlayan politikalar, kemer sıkma önlemleri olarak adlandırılmaktadır. Kemer sıkma önlemleri, genellikle sosyal yardım programlarında kesintiye gidilmesi, vergilerin artırılması, emeklilik yaşının yükseltilmesi ve kamu personeli ile emekli maaşlarında kesinti gibi önlemleri kapsamaktadır. Avro Alanı borç krizinin aşılmasında, hükümetler tarafından sıklıkla başvurulan kemer sıkma önlemleri kamuoyunun tepkisine yol açmış ve eylemlerle protesto edilmiştir. Hükümetlerin kabul ettikleri kemer sıkma önlemleri, krizden en fazla etkilenen ülkelerden Yunanistan, İrlanda ve İspanya başta olmak üzere birçok ülkede yapılan erken seçimlerde, iktidar partilerinin oy kaybına uğramasında belirleyici olmuştur.</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Kredi Derecelendirme Kuruluşları</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rStyle w:val="Vurgu"/>
          <w:color w:val="333333"/>
          <w:sz w:val="28"/>
          <w:szCs w:val="28"/>
        </w:rPr>
        <w:t>Credit Rating Agencies</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Kredi derecelendirme kuruluşları, ülkelerin ve özel şirketlerin kredi risklerini ölçerek belirli bir puanlama sistemiyle ilgili kesimlerin bilgisine sunmaktadır. Kredi derecelendirmeleri, yatırımcıların karar verirken dikkate almaları gereken unsurlardan birini oluşturur.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Dünya çapında tanınan üç büyük kredi derecelendirme kuruluşu Moody’s, Fitch ve Standard and Poors’dur (S&amp;P). Avrupa Menkul Kıymetler ve Piyasalar Otoritesi tarafından kredi derecelendirme kuruluşları için geliştirilen düzenleyici teknik standartlar, 21 Mart 2012 tarihli ve 447/2012 Sayılı Komisyon Delege Tüzüğü kapsamında kabul edilmiştir. Buna göre, AB’de kredi derecelendirme kuruluşlarının Avrupa Menkul Kıymetler ve Piyasalar Otoritesi’ne başvurmaları, gerekli bilgiyi vermeleri ve kredi değerlendirmeleri ile ilgili olarak verilerini ortak bir havuza aktarmaları gerekmektedir.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Avrupa Menkul Kıymetler ve Piyasalar Otoritesi, düzenli olarak kayıtlı ve onaylı kredi derecelendirme kuruluşlarının listesini yayımlamaktadır. Düzenleyici teknik standartlar, adil rekabetin ve şeffaflığın sağlanması, yatırımcıların korunması ve mali hizmetler alanında ortak bir kurallar manzumesi oluşturulabilmesi amacıyla belirlenmiştir. 16 Ocak 2013 tarihinde Avrupa Parlamentosu, kredi derecelendirme kuruluşlarının devlet borçlarını ve özel şirketlerin mali durumunu ne zaman ve nasıl derecelendirebileceği ile ilgili kuralları kabul etmiştir. Avrupa Menkul Kıymetler ve Piyasalar Otoritesi, kurallara uymayan kredi derecelendirme kuruluşlarını para cezasına çarptırabilmektedir.</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Kredi Temerrüt Takası</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rStyle w:val="Vurgu"/>
          <w:color w:val="333333"/>
          <w:sz w:val="28"/>
          <w:szCs w:val="28"/>
        </w:rPr>
        <w:t>Credit Default Swap (CDS)</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Genel anlamıyla, borçlu pozisyondaki kurumun borcunu ödeyememe ihtimaline karşı, alacaklının hakkını garanti eden kıymetli evrak; bir çeşit borç sigortasıdır. Ülke CDS’si ise CDS satıcısının ilgili ülkenin ödeme güçlüğüne düşmesi halinde, yıllık bir prim karşılığında alıcıyı telafi etmek üzere anlaştığı bir türev araçtır. Ülkenin ödeme güçlüğüne girmesine ve kredi riskine karşı bir çeşit sigortadır.</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Kredi Veren Ülkeler</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rStyle w:val="Vurgu"/>
          <w:color w:val="333333"/>
          <w:sz w:val="28"/>
          <w:szCs w:val="28"/>
        </w:rPr>
        <w:t>Creditor Countries</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Ödemeler dengesi fazlası veren, başka bir deyişle toplam finansal varlıkları ile toplam finansal yükümlülüklerinin farkı pozitif olan ülkeler, kredi veren veya kreditör ülkeler olarak adlandırılmaktadır.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Kredi veren ülkeler, dış ticaret fazlası vermekte ve böylece uluslararası finansal piyasalarda bu fazlayı diğer ülkelere borç vermektedir. Avro Alanı borç krizi bağlamında, kredi veren ülkeler başta Almanya olmak üzere Avro Alanı’nın kuzeyindeki üyelerini tanımlamak için kullanılmaktadır. Bu anlamda kredi veren ülkeler Almanya, Finlandiya, Hollanda, Belçika ve Lüksemburg’dan oluşmaktadır. Borç krizi ile birlikte, Avro Alanı’nda kuzeydeki kredi veren ülkeler ile güneydeki borçlanan ülkeler arasındaki ayrım derinleşmiştir. AB’den yardım talebinde bulunan ülkelerin kurtarma paketleri kreditör ülkeler tarafından finanse edildiği için AB üye ülkeleri arasındaki ilişki eşit ortaklar arasındaki bir ilişkiden çok bazı politikaların kredi veren ülkeler tarafından dikte edildiği izleniminin ve hiyerarşik bir yapının hakim olduğu “kreditör-borçlanan ülke” veya “kuzey-güney” ekseninde şekillenmeye başlamıştır. Sahip oldukları güçlü ekonomik performasla karakterize edilen kuzey ülkeleri, Avro Alanı’nın güneyindeki borçlanan ülkelerin kamu bütçelerini kontrol altında tutmaları gerektiği görüşünü savunmaktadırlar.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Kredi veren ülkelere göre, Avro Alanı’ndaki borç krizinin temel nedenleri, Yunanistan’daki kamu harcamalarının düzgün bir şekilde yönetilememesi, İtalya’da yapısal reformların yapılmaması ve iş gücü verimliliğinin düşük olması, İrlanda’da bankaların ihtiyatlı denetime tabi olmaması, İspanya’da ise gayrimenkul balonu ve özel borçlanmadır. Kredi veren ülkelere göre krizin çözümü ise borçlanan ülkelerde mali disiplinin ve iyi yönetişimin güçlendirilmesi ve yapısal reformların uygulanmasından geçmektedir.</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Kurtarma Paketi</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rStyle w:val="Vurgu"/>
          <w:color w:val="333333"/>
          <w:sz w:val="28"/>
          <w:szCs w:val="28"/>
        </w:rPr>
        <w:t>Bailout</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İflas, borcunu ödeyememe veya tasfiye tehlikesiyle karşı karşıya kalan ulusal ya da çok uluslu işletmelere yapılan sermaye enjeksiyonu, kurtarma olarak adlandırılmaktadır.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Genel olarak kurtarılan veya kurtaran taraf bir şahıs, şirket, devlet veya bir uluslararası kuruluş olabilmektedir. Mali yardım; borç, halka arz, nakit katkı, çerçeve kredi şeklinde sağlanabilmekte ve bunlara genellikle daha fazla hükümet gözetimi ve düzenleme eşlik etmektedir. Binlerce iş yaratan ve ekonomide etkin rol oynayan işletmelerin iflası, diğer sektörleri ve ekonominin genelini tehdit edebilmektedir. 2008 yılında başlayan küresel kriz, dünya genelinde hemen her sektörde devlet destekli kurtarma operasyonlarına sebep olmuştur. Avro Alanı’ndaki borçlanma krizi sırasında kurtarma paketi talebinde bulunan ülkeler GKRY, İspanya, Yunanistan, İrlanda ve Portekiz olmuştur. Kurtarma paketleri kapsamında kurtarılan ülkeye devlet finansman ihtiyacının karşılanması için fon verilirken, söz konusu ülkenin bütçesel önlemlere, yapısal reformlara ve kamu sektörünün büyüklüğüne ilişkin belirlenen koşulları da yerinde getirmesi beklenmektedir.</w:t>
      </w:r>
    </w:p>
    <w:p w:rsidR="00497A84" w:rsidRPr="00DA3794" w:rsidRDefault="00497A84">
      <w:pPr>
        <w:rPr>
          <w:rFonts w:ascii="Times New Roman" w:hAnsi="Times New Roman" w:cs="Times New Roman"/>
          <w:sz w:val="28"/>
          <w:szCs w:val="28"/>
        </w:rPr>
      </w:pPr>
    </w:p>
    <w:p w:rsidR="00497A84" w:rsidRPr="00DA3794" w:rsidRDefault="00497A84">
      <w:pPr>
        <w:rPr>
          <w:rFonts w:ascii="Times New Roman" w:hAnsi="Times New Roman" w:cs="Times New Roman"/>
          <w:sz w:val="28"/>
          <w:szCs w:val="28"/>
        </w:rPr>
      </w:pPr>
    </w:p>
    <w:p w:rsidR="00497A84" w:rsidRPr="00DA3794" w:rsidRDefault="00497A84" w:rsidP="00497A84">
      <w:pPr>
        <w:spacing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L</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Lehman Brothers</w:t>
      </w:r>
    </w:p>
    <w:p w:rsidR="00497A84" w:rsidRPr="00DA3794" w:rsidRDefault="00497A84" w:rsidP="00497A84">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Lehman Brothers</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Merkezi ABD’nin New York kentinde bulunan ABD’li bir yatırım bankasıdır. Ağırlıklı olarak sabit faizli hisse senetleri ile çalışır. 2004 yılı itibarıyla dünya çapında yaklaşık 20 bin çalışanı vardır. 15 Eylül 2008 tarihinde iflasını açıklamasıyla, 613 milyar ABD doları ile ABD tarihinin en büyük iflası meydana gelmiş ve küresel ekonomik krizin simgesi haline gelmiştir.</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Liikanen Raporu</w:t>
      </w:r>
    </w:p>
    <w:p w:rsidR="00497A84" w:rsidRPr="00DA3794" w:rsidRDefault="00497A84" w:rsidP="00497A84">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Liikanen Report</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Liikanen Raporu olarak anılan rapor, başkanlığını Erkki Liikanen’in üstlendiği üst düzey bir uzman grubu tarafından AB bankacılık sektörünün yapısıyla ilgili olası reform önerileri içermektedir.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Kasım 2011’de Avrupa Komisyonu’nun İç Pazardan Sorumlu Üyesi Michel Barnier, AB bankacılık sisteminin yapısıyla ilgili reform önerileri geliştirmek üzere bir üst düzey uzmanlar grubu oluşturulacağını açıklamıştır. Finlandiya Merkez Bankası Başkanı ve Komisyon’un eski Üyesi Erkki Liikanen başkanlığında kurulan grubun 11 üyesi, 22 Şubat 2012 tarihinde kamuoyuna açıklanmıştır.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Üst düzey uzman grubu, raporunu 2 Ekim 2012 tarihinde Avrupa Komisyonu’na sunmuştur. Liikanen Raporu’nda vatandaşlara, AB ekonomisine ve İç Pazara daha güvenli, daha istikrarlı ve etkin hizmet veren bir bankacılık sektörünün oluşturulması için mevcut yapısal reformların sürdürülmesi gerektiği belirtilmiş, bunların yanında beş tavsiyenin altı çizilmiştir:</w:t>
      </w:r>
    </w:p>
    <w:p w:rsidR="00497A84" w:rsidRPr="00DA3794" w:rsidRDefault="00497A84" w:rsidP="00497A84">
      <w:pPr>
        <w:numPr>
          <w:ilvl w:val="0"/>
          <w:numId w:val="14"/>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Prop-trading ve diğer yüksek riskli hisse senedi alım satımlarının zorunlu olarak ayrılması;</w:t>
      </w:r>
    </w:p>
    <w:p w:rsidR="00497A84" w:rsidRPr="00DA3794" w:rsidRDefault="00497A84" w:rsidP="00497A84">
      <w:pPr>
        <w:numPr>
          <w:ilvl w:val="0"/>
          <w:numId w:val="14"/>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Ekonomik toparlanma ve çözüm planındaki faaliyetlerin ayrılması;</w:t>
      </w:r>
    </w:p>
    <w:p w:rsidR="00497A84" w:rsidRPr="00DA3794" w:rsidRDefault="00497A84" w:rsidP="00497A84">
      <w:pPr>
        <w:numPr>
          <w:ilvl w:val="0"/>
          <w:numId w:val="14"/>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Çözüm aracı olarak bail-in uygulamalarının kullanılmasına ilişkin olası yasal değişiklikler;</w:t>
      </w:r>
    </w:p>
    <w:p w:rsidR="00497A84" w:rsidRPr="00DA3794" w:rsidRDefault="00497A84" w:rsidP="00497A84">
      <w:pPr>
        <w:numPr>
          <w:ilvl w:val="0"/>
          <w:numId w:val="14"/>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Menkul kıymetler ve emlak kredilerine ilişkin sermaye yeterliliklerinin gözden geçirilmesi;</w:t>
      </w:r>
    </w:p>
    <w:p w:rsidR="00497A84" w:rsidRPr="00DA3794" w:rsidRDefault="00497A84" w:rsidP="00497A84">
      <w:pPr>
        <w:numPr>
          <w:ilvl w:val="0"/>
          <w:numId w:val="14"/>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Bankaların yönetiminin ve kontrolünün güçlendirilmesi.</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Lizbon Antlaşması</w:t>
      </w:r>
    </w:p>
    <w:p w:rsidR="00497A84" w:rsidRPr="00DA3794" w:rsidRDefault="00497A84" w:rsidP="00497A84">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Lisbon Treaty</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2004 yılında, AB Anayasa Taslağı’nın Hollanda ve Fransa’daki ulusal oylamalarda reddedilmesinin ardından geri çekilmesiyle hazırlanan ve AB’yi reforme etmeyi planlayan Lizbon Antlaşması, 13 Aralık 2007 tarihinde Portekiz’in başkenti Lizbon’da, 27 AB üyesi devletin temsilcisi tarafından imzalanmış ve zorlu bir onay sürecinin ardından 1 Aralık 2009 tarihinde yürürlüğe girmiştir.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Lizbon Antlaşması’nın hazırlanmasında, kısa sürede 15 Üye Devletten 27 Üye Devlete genişleyen AB’nin karar alma mekanizmalarının daha etkin hale getirilmesi, Avrupa Parlamentosu’nun ve ulusal parlamentoların karar alama sürecindeki rolünün artırılmasıyla demokrasi açığının üstesinden gelinmesi ve AB’nin uluslararası arenada daha tutarlı politikalar izlemesinin sağlanması amaçları etkili olmuştur.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Lizbon Antlaşması’nın getirdiği yenilikler ana hatlarıyla şu şekilde sıralanabilir:</w:t>
      </w:r>
    </w:p>
    <w:p w:rsidR="00497A84" w:rsidRPr="00DA3794" w:rsidRDefault="00497A84" w:rsidP="00497A84">
      <w:pPr>
        <w:numPr>
          <w:ilvl w:val="0"/>
          <w:numId w:val="15"/>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Lizbon Antlaşması ile AB Konseyi’nin çalışmalarında devamlılığı ve Üye Devletler arasında konsensüsü sağlamak için bir AB Konseyi Başkanı makamı oluşturulmuştur. AB Konseyi tarafından nitelikli çoğunluk esasına göre 2,5 yıllığına gö- reve gelen ve görev süresi bir kez yenilenebilen AB Konseyi Başkanlığı makamında, hâlihazırda Belçika eski Başbakanı Herman Van Rompuy bulunmaktadır.</w:t>
      </w:r>
    </w:p>
    <w:p w:rsidR="00497A84" w:rsidRPr="00DA3794" w:rsidRDefault="00497A84" w:rsidP="00497A84">
      <w:pPr>
        <w:numPr>
          <w:ilvl w:val="0"/>
          <w:numId w:val="15"/>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AB Konseyi Dönem Başkanlığını ard arda üstlenecek üç ülkenin, “Üçlü Başkanlık” adı altında üçlü bir dönem başkanlığı olarak ortak bir program hazırlamaları yoluyla Bakanlar Konseyi’nde devamlılığın sağlanması amaçlanmaktadır.</w:t>
      </w:r>
    </w:p>
    <w:p w:rsidR="00497A84" w:rsidRPr="00DA3794" w:rsidRDefault="00497A84" w:rsidP="00497A84">
      <w:pPr>
        <w:numPr>
          <w:ilvl w:val="0"/>
          <w:numId w:val="15"/>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Lizbon Antlaşması ile karar alma sürecinin daha etkili ve etkin hale getirilmesi için nitelikli çoğunluk esasının geçerli ol- duğu politika alanları da genişletilerek, önceden oybirliği esasının geçerli olduğu kültür ve göç gibi konularda da nitelikli çoğunluk metodu uygulanmaya başlanmıştır.</w:t>
      </w:r>
    </w:p>
    <w:p w:rsidR="00497A84" w:rsidRPr="00DA3794" w:rsidRDefault="00497A84" w:rsidP="00497A84">
      <w:pPr>
        <w:numPr>
          <w:ilvl w:val="0"/>
          <w:numId w:val="15"/>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Lizbon Antlaşması ile AB Bakanlar Konseyi’nde kararların nitelikli çoğunluk usulüne göre alındığı alanlarda, “çifte ço- ğunluk” (double majority) sistemi getirilmektedir. Bu doğrultuda, bir kararın alınabilmesi için Üye Devletlerin en az yüzde 55’inin ve AB nüfusunun ise en az yüzde 65’ininin görüşünü temsil etmelidir. Polonya’nın çekinceleri nedeniyle, çifte çoğunluk sistemi, 1 Kasım 2014 itibarıyla uygulanmaya başlayacak; ancak Üye Devletlerden birinin talebi üzerine mevcut sistem uygulanmaya devam edebilecektir. 31 Mart 2017 itibarıyla, “çifte çoğunluk” sistemi zorunlu olacaktır.</w:t>
      </w:r>
    </w:p>
    <w:p w:rsidR="00497A84" w:rsidRPr="00DA3794" w:rsidRDefault="00497A84" w:rsidP="00497A84">
      <w:pPr>
        <w:numPr>
          <w:ilvl w:val="0"/>
          <w:numId w:val="15"/>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 Kasım 2014 itibarıyla, genişlemeye paralel olarak Avrupa Komisyonu’nda giderek artan Komisyon Üyesi sayısı ile birlikte zorlaşan çalışma şartlarını rahatlatmak için Avrupa Komisyonu üyelerinin sayısı, Üye Devletlerin üçte ikisi ora- nında sabitlenecektir. Hangi Üye Devletin hangi dönemde Komisyon’a bir Komisyon Üyesi göndereceği ise rotasyon esasına göre belirlenecektir.</w:t>
      </w:r>
    </w:p>
    <w:p w:rsidR="00497A84" w:rsidRPr="00DA3794" w:rsidRDefault="00497A84" w:rsidP="00497A84">
      <w:pPr>
        <w:numPr>
          <w:ilvl w:val="0"/>
          <w:numId w:val="15"/>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AB’nin uluslararası arenada etkinliğini ve görünürlüğünü artırmak ve daha tek sesli konuşmasını sağlamak için Lizbon Antlaşması ile Ortak Dış Politika ve Güvenlik Yüksek Temsilcisi ve Dış İlişkilerden Sorumlu Avrupa Komisyonu Üyesi makamları birleştirilerek AB Dışişleri ve Güvenlik Politikası Yüksek Temsilcisi makamı oluşturulmuştur. Aynı zamanda Avrupa Komisyonu Başkan Yardımcılığı görevini de üstlenen yeni Yüksek Temsilci, Dışişleri Konseyi’ne başkanlık eder. Lizbon Antlaşması ile Yüksek Temsilcinin görevine yardımcı olmak üzere ayrıca bir AB diplomatik servisi “AB Dış İlişki- ler Servisi” (European External Action Service -EEAS) oluşturulmuştur.</w:t>
      </w:r>
    </w:p>
    <w:p w:rsidR="00497A84" w:rsidRPr="00DA3794" w:rsidRDefault="00497A84" w:rsidP="00497A84">
      <w:pPr>
        <w:numPr>
          <w:ilvl w:val="0"/>
          <w:numId w:val="15"/>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Lizbon Antlaşması ile tüzel kişilik kazanan AB, uluslararası anlaşma akdetme, sözleşmelere taraf olma ve kuruluşlara üye olma hakkı kazanmıştır.</w:t>
      </w:r>
    </w:p>
    <w:p w:rsidR="00497A84" w:rsidRPr="00DA3794" w:rsidRDefault="00497A84" w:rsidP="00497A84">
      <w:pPr>
        <w:numPr>
          <w:ilvl w:val="0"/>
          <w:numId w:val="15"/>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Ulusal parlamentoların rolü güçlendirilerek, ulusal parlamentolara yerindelik (subsidiarity) ilkesinin uygulanması konu- sunda denetim yetkisi verilmiştir.</w:t>
      </w:r>
    </w:p>
    <w:p w:rsidR="00497A84" w:rsidRPr="00DA3794" w:rsidRDefault="00497A84" w:rsidP="00497A84">
      <w:pPr>
        <w:numPr>
          <w:ilvl w:val="0"/>
          <w:numId w:val="15"/>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Parlamentosu’nun karar alma süreçlerindeki rolü güçlendirilerek, ortak karar alma (co-decision) prosedürü- nün kapsamı genişletilmiş ve AB’nin Çok Yıllı Mali Çerçevesi’nin AP tarafından onaylanması gerektiği teyit edilirken, ortak karar alma esasının geçerli olduğu tüm alanlarda AB tarafından imzalanan tüm anlaşmaların AP tarafından da onaylanması zorunluluğu getirilmiştir.</w:t>
      </w:r>
    </w:p>
    <w:p w:rsidR="00497A84" w:rsidRPr="00DA3794" w:rsidRDefault="00497A84" w:rsidP="00497A84">
      <w:pPr>
        <w:numPr>
          <w:ilvl w:val="0"/>
          <w:numId w:val="15"/>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AP’deki üye sayısı 751 olarak sabitlenmiştir.</w:t>
      </w:r>
    </w:p>
    <w:p w:rsidR="00497A84" w:rsidRPr="00DA3794" w:rsidRDefault="00497A84" w:rsidP="00497A84">
      <w:pPr>
        <w:numPr>
          <w:ilvl w:val="0"/>
          <w:numId w:val="15"/>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AB Temel Haklar Şartı, İngiltere ve Polonya dışındaki Üye Devletler için hukuki olarak bağlayıcı hale getirilmiştir.</w:t>
      </w:r>
    </w:p>
    <w:p w:rsidR="00497A84" w:rsidRPr="00DA3794" w:rsidRDefault="00497A84" w:rsidP="00497A84">
      <w:pPr>
        <w:spacing w:before="150"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Los Cabos Büyüme ve İstihdam Eylem Planı</w:t>
      </w:r>
    </w:p>
    <w:p w:rsidR="00497A84" w:rsidRPr="00DA3794" w:rsidRDefault="00497A84" w:rsidP="00497A84">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The Los Cabos Growth and Jobs Action Plan</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18-19 Haziran 2012 tarihlerinde Meksika’nın Los Cabos şehrinde bir araya gelen G-20 liderleri tarafından kabul edilen Los Cabos Büyüme ve İstihdam Eylem Planı, giderek artan küresel ekonomik belirsizliğe karşı tüm vatandaşların istihdam edebilirliklerinin iyileştirilmesi, kısa ve orta vadeli risklerin üstesinden gelinmesi, büyüme ve talebin artırılması, güvenin yeniden tesis edilmesi ve finansal istikrarın güçlendirilmesi için gerekli önlemlerin alınması taahhüdünde bulunmaktadır.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Los Cabos Büyüme ve İstihdam Eylem Planı ile gerçekleştirilmesi öngörülen eylemlerin şu alanlara odaklanması amaçlanmaktadır:</w:t>
      </w:r>
    </w:p>
    <w:p w:rsidR="00497A84" w:rsidRPr="00DA3794" w:rsidRDefault="00497A84" w:rsidP="00497A84">
      <w:pPr>
        <w:numPr>
          <w:ilvl w:val="0"/>
          <w:numId w:val="16"/>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Avro Alanı’ndaki borçlanma krizinin kararlılıkla üstesinden gelinmesi;</w:t>
      </w:r>
    </w:p>
    <w:p w:rsidR="00497A84" w:rsidRPr="00DA3794" w:rsidRDefault="00497A84" w:rsidP="00497A84">
      <w:pPr>
        <w:numPr>
          <w:ilvl w:val="0"/>
          <w:numId w:val="16"/>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Finansal istikrarın sağlanması;</w:t>
      </w:r>
    </w:p>
    <w:p w:rsidR="00497A84" w:rsidRPr="00DA3794" w:rsidRDefault="00497A84" w:rsidP="00497A84">
      <w:pPr>
        <w:numPr>
          <w:ilvl w:val="0"/>
          <w:numId w:val="16"/>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Talep ve ekonomik büyümenin destelenmesi ve özellikle genç nüfusta ciddi boyutlara ulaşan işsizliğin üstesinden ge- linmesi;</w:t>
      </w:r>
    </w:p>
    <w:p w:rsidR="00497A84" w:rsidRPr="00DA3794" w:rsidRDefault="00497A84" w:rsidP="00497A84">
      <w:pPr>
        <w:numPr>
          <w:ilvl w:val="0"/>
          <w:numId w:val="16"/>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Gelişmiş ekonomilerde mali konsolidasyonun ekonomik toparlanmayı destekleyecek hızda olmasının sağlanması;</w:t>
      </w:r>
    </w:p>
    <w:p w:rsidR="00497A84" w:rsidRPr="00DA3794" w:rsidRDefault="00497A84" w:rsidP="00497A84">
      <w:pPr>
        <w:numPr>
          <w:ilvl w:val="0"/>
          <w:numId w:val="16"/>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Jeopolitik risklerin petrol fiyatlarında arzın uyardığı bir yükselmeye yol açabileceği ihtimaliyle başa çıkılması;</w:t>
      </w:r>
    </w:p>
    <w:p w:rsidR="00497A84" w:rsidRPr="00DA3794" w:rsidRDefault="00497A84" w:rsidP="00497A84">
      <w:pPr>
        <w:numPr>
          <w:ilvl w:val="0"/>
          <w:numId w:val="16"/>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Yükselmekte olan pazarların küresel ekonomik iyileşmeye ve istihdam yaratılmasına katkıda bulunacak güçlü ve sür- dürülebilir büyüme yolunda kalmalarının sağlanması;</w:t>
      </w:r>
    </w:p>
    <w:p w:rsidR="00497A84" w:rsidRPr="00DA3794" w:rsidRDefault="00497A84" w:rsidP="00497A84">
      <w:pPr>
        <w:numPr>
          <w:ilvl w:val="0"/>
          <w:numId w:val="16"/>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Ticarette korumacılıkla mücadele edilmesi ve pazarların açık kalmasının sağlanması.</w:t>
      </w:r>
    </w:p>
    <w:p w:rsidR="00497A84" w:rsidRPr="00DA3794" w:rsidRDefault="00497A84">
      <w:pPr>
        <w:rPr>
          <w:rFonts w:ascii="Times New Roman" w:hAnsi="Times New Roman" w:cs="Times New Roman"/>
          <w:sz w:val="28"/>
          <w:szCs w:val="28"/>
        </w:rPr>
      </w:pPr>
    </w:p>
    <w:p w:rsidR="00497A84" w:rsidRPr="00DA3794" w:rsidRDefault="00497A84">
      <w:pPr>
        <w:rPr>
          <w:rFonts w:ascii="Times New Roman" w:hAnsi="Times New Roman" w:cs="Times New Roman"/>
          <w:sz w:val="28"/>
          <w:szCs w:val="28"/>
        </w:rPr>
      </w:pPr>
    </w:p>
    <w:p w:rsidR="00497A84" w:rsidRPr="00DA3794" w:rsidRDefault="00497A84" w:rsidP="00497A84">
      <w:pPr>
        <w:spacing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M</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Maastricht Antlaşması</w:t>
      </w:r>
    </w:p>
    <w:p w:rsidR="00497A84" w:rsidRPr="00DA3794" w:rsidRDefault="00497A84" w:rsidP="00497A84">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Maastricht Treaty</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Birliği Antlaşması (Treaty on European Union) olarak da bilinen Maastricht Antlaşması, 7 Şubat 1992 tarihinde imzalanarak 1 Kasım 1993 tarihinde yürürlüğe girmiştir. Maastricht Antlaşması’nın ortaya çıkmasında, birçok iç ve dış gelişme etkili olmuştur. Dış gelişmelerden Orta ve Doğu Avrupa’da komünizmin çöküşü ile Doğu ve Batı Almanya’nın birleşme perspektifi, Avrupa Topluluğu’nun (AT) uluslararası konumunun güçlendirilmesi ihtiyacını da beraberinde getirmiştir. İç dinamiklerden Üye Devletlerin Avrupa Tek Senedi (Single European Act) ile elde edilen başarıyı daha fazla reform ile destekleme arzuları ise Maastricht Antlaşması’nın ortaya çıkmasında etkili olmuştur.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Maastricht Antlaşması ile AT, kuruluş hedefi olan “ortak bir pazarın oluşturulması” hedefinin ötesine geçerek, siyasi hedeflere yönelmiştir. Maastricht Antlaşması’nın amaçları şu şekilde sıralanmaktadır:</w:t>
      </w:r>
    </w:p>
    <w:p w:rsidR="00497A84" w:rsidRPr="00DA3794" w:rsidRDefault="00497A84" w:rsidP="00497A84">
      <w:pPr>
        <w:numPr>
          <w:ilvl w:val="0"/>
          <w:numId w:val="17"/>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Kurumlarının demokratik meşruiyetinin güçlendirilmesi;</w:t>
      </w:r>
    </w:p>
    <w:p w:rsidR="00497A84" w:rsidRPr="00DA3794" w:rsidRDefault="00497A84" w:rsidP="00497A84">
      <w:pPr>
        <w:numPr>
          <w:ilvl w:val="0"/>
          <w:numId w:val="17"/>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Kurumlarının etkinliğinin artırılması;</w:t>
      </w:r>
    </w:p>
    <w:p w:rsidR="00497A84" w:rsidRPr="00DA3794" w:rsidRDefault="00497A84" w:rsidP="00497A84">
      <w:pPr>
        <w:numPr>
          <w:ilvl w:val="0"/>
          <w:numId w:val="17"/>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Ekonomik ve Parasal Birliğin kurulması;</w:t>
      </w:r>
    </w:p>
    <w:p w:rsidR="00497A84" w:rsidRPr="00DA3794" w:rsidRDefault="00497A84" w:rsidP="00497A84">
      <w:pPr>
        <w:numPr>
          <w:ilvl w:val="0"/>
          <w:numId w:val="17"/>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Topluluğun sosyal boyutunun geliştirilmesi;</w:t>
      </w:r>
    </w:p>
    <w:p w:rsidR="00497A84" w:rsidRPr="00DA3794" w:rsidRDefault="00497A84" w:rsidP="00497A84">
      <w:pPr>
        <w:numPr>
          <w:ilvl w:val="0"/>
          <w:numId w:val="17"/>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Ortak bir dış ve güvenlik politikasının oluşturulması.</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Maastricht Antlaşması’nın getirdiği başlıca yenilikler ise şu şekildedir:</w:t>
      </w:r>
    </w:p>
    <w:p w:rsidR="00497A84" w:rsidRPr="00DA3794" w:rsidRDefault="00497A84" w:rsidP="00497A84">
      <w:pPr>
        <w:numPr>
          <w:ilvl w:val="0"/>
          <w:numId w:val="18"/>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Maastricht Antlaşması ile AT, AB adını almış ve üç sütundan oluşan bir yapı çerçevesinde düzenlenmiştir. Avrupa Toplulukları, topluluk metodunun geçerli olduğu birinci sütun; Ortak Dış ve Güvenlik Politikası, hükümetler arası iş birliği usulünce oybirliğine dayalı ikinci sütun; İçişleri ve Yargıda İş Birliği ise üçüncü sütun olarak belirlenmiştir.</w:t>
      </w:r>
    </w:p>
    <w:p w:rsidR="00497A84" w:rsidRPr="00DA3794" w:rsidRDefault="00497A84" w:rsidP="00497A84">
      <w:pPr>
        <w:numPr>
          <w:ilvl w:val="0"/>
          <w:numId w:val="18"/>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Karar alma süreçlerinde yenilikler öngören Antlaşma ile AP’nin karar alma sürecindeki rolü güçlendirilmiştir.</w:t>
      </w:r>
    </w:p>
    <w:p w:rsidR="00497A84" w:rsidRPr="00DA3794" w:rsidRDefault="00497A84" w:rsidP="00497A84">
      <w:pPr>
        <w:numPr>
          <w:ilvl w:val="0"/>
          <w:numId w:val="18"/>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AP’nin Komisyon’un atanmasındaki rolü güçlendirilmiş ve uluslararası anlaşmalara ilişkin yetkileri artırılmıştır.</w:t>
      </w:r>
    </w:p>
    <w:p w:rsidR="00497A84" w:rsidRPr="00DA3794" w:rsidRDefault="00497A84" w:rsidP="00497A84">
      <w:pPr>
        <w:numPr>
          <w:ilvl w:val="0"/>
          <w:numId w:val="18"/>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Karar alma süreçlerinde iş birliği (cooperation) ve uygun bulma (assent) usulünün geçerli olduğu alanlar genişletilmiş ve AP ile AB Konseyi’nin yasama görevini eşit düzeyde paylaştığı ortak karar alma (co-decision) prosedürü hayata geçirilmiştir.</w:t>
      </w:r>
    </w:p>
    <w:p w:rsidR="00497A84" w:rsidRPr="00DA3794" w:rsidRDefault="00497A84" w:rsidP="00497A84">
      <w:pPr>
        <w:numPr>
          <w:ilvl w:val="0"/>
          <w:numId w:val="18"/>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Dört yıl olarak belirlenen Avrupa Komisyonu’nun görev süresi beş yıla çıkarılmıştır.</w:t>
      </w:r>
    </w:p>
    <w:p w:rsidR="00497A84" w:rsidRPr="00DA3794" w:rsidRDefault="00497A84" w:rsidP="00497A84">
      <w:pPr>
        <w:numPr>
          <w:ilvl w:val="0"/>
          <w:numId w:val="18"/>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AB Konseyi’nde karar alma süreçlerinde nitelikli çoğunluk metodunun geçerli olduğu alanlar genişletilmiştir.</w:t>
      </w:r>
    </w:p>
    <w:p w:rsidR="00497A84" w:rsidRPr="00DA3794" w:rsidRDefault="00497A84" w:rsidP="00497A84">
      <w:pPr>
        <w:numPr>
          <w:ilvl w:val="0"/>
          <w:numId w:val="18"/>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Eğitim, kültür, kamu sağlığı, tüketicinin korunması, Trans-Avrupa ulaşım ve enerji ağları, ekonomik ve sosyal uyumun güçlendirilmesi alanları, Avrupa bütünleşmesi çerçevesine dâhil edilmiştir.</w:t>
      </w:r>
    </w:p>
    <w:p w:rsidR="00497A84" w:rsidRPr="00DA3794" w:rsidRDefault="00497A84" w:rsidP="00497A84">
      <w:pPr>
        <w:numPr>
          <w:ilvl w:val="0"/>
          <w:numId w:val="18"/>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Bölgesel yetkililerden oluşan ve danışma rolünü üstlenen Bölgeler Komitesi ve Ombudsman gibi kurumlar oluşturulmuştur.</w:t>
      </w:r>
    </w:p>
    <w:p w:rsidR="00497A84" w:rsidRPr="00DA3794" w:rsidRDefault="00497A84" w:rsidP="00497A84">
      <w:pPr>
        <w:numPr>
          <w:ilvl w:val="0"/>
          <w:numId w:val="18"/>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Maastricht Antlaşması ile AB vatandaşlığı kavramı oluşturulmuştur. Böylece AB üye devletleri vatandaşlarına yeni siyasi haklar tanınmıştır.</w:t>
      </w:r>
    </w:p>
    <w:p w:rsidR="00497A84" w:rsidRPr="00DA3794" w:rsidRDefault="00497A84" w:rsidP="00497A84">
      <w:pPr>
        <w:numPr>
          <w:ilvl w:val="0"/>
          <w:numId w:val="18"/>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Yetki ikamesi (subsidiarity) ilkesi, genel bir kural olarak kabul edilmiştir.</w:t>
      </w:r>
    </w:p>
    <w:p w:rsidR="00497A84" w:rsidRPr="00DA3794" w:rsidRDefault="00497A84" w:rsidP="00497A84">
      <w:pPr>
        <w:numPr>
          <w:ilvl w:val="0"/>
          <w:numId w:val="18"/>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Ekonomik ve sosyal uyumun, uyum fonu (cohesion fund) ile desteklenmesi öngörülmüştür.</w:t>
      </w:r>
    </w:p>
    <w:p w:rsidR="00497A84" w:rsidRPr="00DA3794" w:rsidRDefault="00497A84" w:rsidP="00497A84">
      <w:pPr>
        <w:numPr>
          <w:ilvl w:val="0"/>
          <w:numId w:val="18"/>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Maastricht Antlaşması ile ayrıca, Ortak Pazar’a ek olarak, parasal ve ekonomik politikalarda bütünleşmenin sağlanması ve üç aşamada Ekonomik ve Parasal Birliğin sağlanması amaçlanmıştır.</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Maastricht Kriterleri</w:t>
      </w:r>
    </w:p>
    <w:p w:rsidR="00497A84" w:rsidRPr="00DA3794" w:rsidRDefault="00497A84" w:rsidP="00497A84">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Maastricht Criteria</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AB üyesi devletlerin ortak para birimi avroyu kullanabilmeleri ve Avro Alanı’na girebilmeleri için karşılamaları gereken ekonomik koşullar, yakınsama kriterleri (convergence criteria) veya daha yaygın kullanılan şekliyle “Maastricht kriterleri” olarak adlandırılmaktadır.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Bu koşullar 7 Şubat 1992 tarihinde, Hollanda’nın Maastricht şehrinde imzalanarak, 1 Kasım 1993’de yürürlüğe giren AB Antlaşması ile ortaya koyulduğu için Maastricht Kriterleri olarak bilinmektedir. Ekonomik yakınsama kriterleri, bir Üye Devletin ekonomisinin ortak para birimini kabul etmek için yeterince hazırlıklı olduğunu teyit etmeyi ve Avro Alanı’ndaki para politikasına kolayca entegre olabilmesini sağlamayı amaçlamaktadır. Maastricht Kriterleri; fiyat istikrarını, kamu finansmanının sağlamlığını ve sürdürülebilirliğini, döviz kuru istikrarını ve uzun vadeli faiz oranlarını değerlendirmek için geliştirilen makroekonomik referans değerler olarak da tanımlanmaktadır.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Maastricht Kriterleri’ne göre, bir Üye Devletin Avro Alanı’na dâhil olabilmesi için beş kriteri karşılaması gerekmektedir:</w:t>
      </w:r>
    </w:p>
    <w:p w:rsidR="00497A84" w:rsidRPr="00DA3794" w:rsidRDefault="00497A84" w:rsidP="00497A84">
      <w:pPr>
        <w:numPr>
          <w:ilvl w:val="0"/>
          <w:numId w:val="19"/>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b/>
          <w:bCs/>
          <w:color w:val="333333"/>
          <w:sz w:val="28"/>
          <w:szCs w:val="28"/>
          <w:lang w:eastAsia="tr-TR"/>
        </w:rPr>
        <w:t>Fiyat istikrarı</w:t>
      </w:r>
      <w:r w:rsidRPr="00DA3794">
        <w:rPr>
          <w:rFonts w:ascii="Times New Roman" w:eastAsia="Times New Roman" w:hAnsi="Times New Roman" w:cs="Times New Roman"/>
          <w:color w:val="333333"/>
          <w:sz w:val="28"/>
          <w:szCs w:val="28"/>
          <w:lang w:eastAsia="tr-TR"/>
        </w:rPr>
        <w:t>: Üye Devletin enflasyon oranının, AB Üye Devletleri arasında en düşük enflasyon oranına sahip (yani fiyat istikrarı açısından en iyi performansı gösteren) üç ülkenin ortalama yıllık enflasyon oranını yüzde 1,5 puandan fazla aşmaması;</w:t>
      </w:r>
    </w:p>
    <w:p w:rsidR="00497A84" w:rsidRPr="00DA3794" w:rsidRDefault="00497A84" w:rsidP="00497A84">
      <w:pPr>
        <w:numPr>
          <w:ilvl w:val="0"/>
          <w:numId w:val="19"/>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b/>
          <w:bCs/>
          <w:color w:val="333333"/>
          <w:sz w:val="28"/>
          <w:szCs w:val="28"/>
          <w:lang w:eastAsia="tr-TR"/>
        </w:rPr>
        <w:t>Bütçe açığı</w:t>
      </w:r>
      <w:r w:rsidRPr="00DA3794">
        <w:rPr>
          <w:rFonts w:ascii="Times New Roman" w:eastAsia="Times New Roman" w:hAnsi="Times New Roman" w:cs="Times New Roman"/>
          <w:color w:val="333333"/>
          <w:sz w:val="28"/>
          <w:szCs w:val="28"/>
          <w:lang w:eastAsia="tr-TR"/>
        </w:rPr>
        <w:t>: Üye Devletin yıllık kamu kesimi bütçe açığının GSYİH’ye oranının yüzde 3’ü geçmemesi;</w:t>
      </w:r>
    </w:p>
    <w:p w:rsidR="00497A84" w:rsidRPr="00DA3794" w:rsidRDefault="00497A84" w:rsidP="00497A84">
      <w:pPr>
        <w:numPr>
          <w:ilvl w:val="0"/>
          <w:numId w:val="19"/>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b/>
          <w:bCs/>
          <w:color w:val="333333"/>
          <w:sz w:val="28"/>
          <w:szCs w:val="28"/>
          <w:lang w:eastAsia="tr-TR"/>
        </w:rPr>
        <w:t>Borç</w:t>
      </w:r>
      <w:r w:rsidRPr="00DA3794">
        <w:rPr>
          <w:rFonts w:ascii="Times New Roman" w:eastAsia="Times New Roman" w:hAnsi="Times New Roman" w:cs="Times New Roman"/>
          <w:color w:val="333333"/>
          <w:sz w:val="28"/>
          <w:szCs w:val="28"/>
          <w:lang w:eastAsia="tr-TR"/>
        </w:rPr>
        <w:t>: Üye Devletin yıllık kamu borcunun GSYİH’ye oranının yüzde 60’ı geçmemesi;</w:t>
      </w:r>
    </w:p>
    <w:p w:rsidR="00497A84" w:rsidRPr="00DA3794" w:rsidRDefault="00497A84" w:rsidP="00497A84">
      <w:pPr>
        <w:numPr>
          <w:ilvl w:val="0"/>
          <w:numId w:val="19"/>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b/>
          <w:bCs/>
          <w:color w:val="333333"/>
          <w:sz w:val="28"/>
          <w:szCs w:val="28"/>
          <w:lang w:eastAsia="tr-TR"/>
        </w:rPr>
        <w:t>Faiz oranları</w:t>
      </w:r>
      <w:r w:rsidRPr="00DA3794">
        <w:rPr>
          <w:rFonts w:ascii="Times New Roman" w:eastAsia="Times New Roman" w:hAnsi="Times New Roman" w:cs="Times New Roman"/>
          <w:color w:val="333333"/>
          <w:sz w:val="28"/>
          <w:szCs w:val="28"/>
          <w:lang w:eastAsia="tr-TR"/>
        </w:rPr>
        <w:t>: Üye Devletin uzun vadeli faiz oranının, bir önceki sene AB genelinde fiyat istikrarı bakımından en iyi performans gösteren (bir diğer deyişle en düşük enflasyon oranına sahip olan) üç Üye Devletin uzun vadeli faiz oranını yüzde 2 puandan fazla aşmaması;</w:t>
      </w:r>
    </w:p>
    <w:p w:rsidR="00497A84" w:rsidRPr="00DA3794" w:rsidRDefault="00497A84" w:rsidP="00497A84">
      <w:pPr>
        <w:numPr>
          <w:ilvl w:val="0"/>
          <w:numId w:val="19"/>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b/>
          <w:bCs/>
          <w:color w:val="333333"/>
          <w:sz w:val="28"/>
          <w:szCs w:val="28"/>
          <w:lang w:eastAsia="tr-TR"/>
        </w:rPr>
        <w:t>Döviz kuru istikrarı</w:t>
      </w:r>
      <w:r w:rsidRPr="00DA3794">
        <w:rPr>
          <w:rFonts w:ascii="Times New Roman" w:eastAsia="Times New Roman" w:hAnsi="Times New Roman" w:cs="Times New Roman"/>
          <w:color w:val="333333"/>
          <w:sz w:val="28"/>
          <w:szCs w:val="28"/>
          <w:lang w:eastAsia="tr-TR"/>
        </w:rPr>
        <w:t>: Üye Devletin ulusal döviz kurunun iki yıl boyunca Avrupa Döviz Kuru Mekanizması’na (ERM II) dâhil olması ve ERM II kapsamında belirlenen dalgalanma marjları içerisinde kalmış olması.</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Komisyonu ve Avrupa Merkez Bankası, en az iki yılda bir veya Avro Alanı’na girmek isteyen bir Üye Devletin talebi üzerine yayımladıkları Yakınsama Raporları aracılığıyla, Avro Alanı aday ülkelerinin Maastricht Kriterleri’ne uyum durumunu değerlendirmektedir. Bu değerlendirme sonucunda, Avrupa Komisyonu, teklifini Ekonomik ve Mali İşler Konseyi’ne iletmekte, Konsey ise Avrupa Parlamentosu’nun görüşünü aldıktan ve konu AB liderleri tarafından da ele alındıktan sonra, Avro Alanı’na üye olmak isteyen Üye Devletin Maastricht Kriterleri’ni karşılayıp karşılamadığına dair kararını vermektedir.</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Makroekonomik Dengesizlik Prosedürü</w:t>
      </w:r>
    </w:p>
    <w:p w:rsidR="00497A84" w:rsidRPr="00DA3794" w:rsidRDefault="00497A84" w:rsidP="00497A84">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Macroeconomic Imbalance Procedure (MIP)</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AB’nin ekonomik ve finansal krizle mücadele etmek ve yeni krizlerin oluşmasını önlemek amacıyla 2011’de geliştirdiği bir mekanizmadır. Bu mekanizma, Altılı Paket adıyla anılan makroekonomik politikaların izlenmesi ve denetlenmesini güçlendirmek amacıyla oluşturulan mevzuat düzenlemesi ve Avrupa Sömestri’nin bir parçasıdır. İki tüzükle düzenlenmiştir. 1176/2011 Sayılı Tüzük, denetim prosedürünün detaylarını ortaya koymakta ve 28 üye ülkeyi kapsamaktadır. 1174/2011 Sayılı Tüzük ise yaptırımlar da dâhil olmak üzere uygulamaya ilişkindir ve Avro Alanı ülkelerine uygulanmaktadır.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MIP, potansiyel risklerin önceden tespit edilmesini, zarar verici makroekonomik dengesizliklerin çıkmasını önlemeyi ve meydana gelmiş olan dengesizlikleri düzeltmeyi amaçlayan bir denetim mekanizmasıdır. MIP’nin yıllık başlangıç noktası Uyarı Mekanizması’dır. Çeşitli makroekonomik verilerden oluşan bir puan tahtasına dayanan bir incelemeyle, ilgili üye ülke hakkında daha derin bir araştırmaya ihtiyacı olup olmadığına karar verilir. Derinlemesine gözden geçirmelerin sonucu, MIP’de ikinci aşamayı oluşturur. Makroekonomik dengesizliğin derecesine göre aşamalı bir yaklaşım uygulanır. MIP’nin önleyici ve düzeltici ayağı vardır. Düzeltici ayak, Aşırı Dengesizlik Prosedürü ile uygulanır ve bunun sonucunda Avro Alanı ülkeleri, taahhütlerini yerine getirmedikleri takdirde cezai yaptırıma tabi olurlar.</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Mali Birlik</w:t>
      </w:r>
    </w:p>
    <w:p w:rsidR="00497A84" w:rsidRPr="00DA3794" w:rsidRDefault="00497A84" w:rsidP="00497A84">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Fiscal Union</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AB’de mali birlik ve mali disiplin, 1997’den beri İstikrar ve Büyüme Paktı’yla sağlanmaktadır. Ekonomik ve mali krizin ortaya çıkmasından sonra 2010’da yeni politikalar kabul edilmiş ve bunlar 2011’de yürürlüğe girmiştir. Bütçe disiplinine ilişkin kurallar güçlendirilmiş, Üye Devletlerdeki makroekonomik durumun denetlenmesine ilişkin düzenlemeler getirilmiştir.</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Mali Konsolidasyon</w:t>
      </w:r>
    </w:p>
    <w:p w:rsidR="00497A84" w:rsidRPr="00DA3794" w:rsidRDefault="00497A84" w:rsidP="00497A84">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Fiscal Consolidation</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Bütçe açığı ve borç birikimini azaltmayı amaçlayan bir politikadır. Önleyici maliye politikası tedbirleri kanalıyla bütçe dengesindeki bir iyileştirme, ya iyileştirme miktarı ya da iyileşmenin devam edildiği dönem tarafından belirlenmektedir. Bu politika kapsamında, harcama kalemlerinde kesintiye gidilmesi ya da vergi oranlarının yükseltilmesiyle gelirlerin artırılması gibi önlemler öngörülebilmektedir. Mali konsolidasyon, ekonomik büyüme için önemli bir ön koşul teşkil etmektedir.</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Mali Sözleşme</w:t>
      </w:r>
    </w:p>
    <w:p w:rsidR="00497A84" w:rsidRPr="00DA3794" w:rsidRDefault="00497A84" w:rsidP="00497A84">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Fiscal Compact</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Mali Sözleşme, 1 Ocak 2013 tarihinde yürürlüğe giren Ekonomik ve Parasal Birlik’te İstikrar, Koordinasyon ve Yönetişime İlişkin Antlaşma’nın kamuoyunda bilinen kısa ismidir. Antlaşma, dengeli bütçe kuralı ve otomatik düzeltme mekanizması aracılığıyla Avro Alanı’nda mali disiplini güçlendirmeyi amaçlamaktadır. Yasal olarak bağlayıcı olan Antlaşma, 16 Avro Alanı ülkesi tarafından onaylanmıştır ve diğer ülkelerin katılımına açıktır. Antlaşma, Aralık 2011’de AB liderlerinin Avro Alanı’nda istikrarın yeniden tesis edilmesi için daha güçlü önlemlere ihtiyaç olduğu yönündeki görüşlerinin ardından hazırlanmış ve 2 Mart 2012 tarihinde 25 Üye Devlet tarafından imzalanmıştır.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Antlaşma ya da Mali Sözleşme, taraf ülkelerin bütçelerinin dengede olmasını ya da fazla vermesini şart koşmaktadır. Hedef, yıllık yapısal bütçe açığının nominal GSYİH’nin binde 5’ini aşmamasını sağlamaktır. Bunun yanında bütçe açığının, uzun vadeli sürdürülebilirlik için her ülkeye mahsus belirlenen oranlarla uyumlu olması gerekmektedir. “Dengeli Bütçe Kuralı”ndan geçici sapmaya ancak sıra dışı ekonomik koşullarda izin verilmektedir.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Bir Üye Devletin dengeli bütçe kuralından sapması halinde, otomatik düzeltme mekanizması yürürlüğe girmektedir. Üye Devletten, belirlenen süre zarfında bu sapmayı düzeltmesi beklenmektedir.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Antlaşmada belirtilen bütçe disiplini ve otomatik düzeltme mekanizmasının iç hukuka aktarımının, 1 Ocak 2014 tarihine kadar tamamlanması gerekmektedir. Aksi halde Avrupa Birliği Adalet Divanı (ABAD), söz konusu ülkeyle ilgili karar alma hakkına sahiptir. ABAD kararları bağlayıcıdır ve Divan, GSYİH’nin binde 1’ine varan oranda para cezası verebilmektedir. Söz konusu ceza, eğer ilgili Üye Devletin para birimi avro ise Avrupa İstikrar Mekanizması’na, değilse AB genel bütçesine aktarılmaktadır.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Aşırı bütçe açığı prosedürüyle, ilgili karar alma mekanizması daha otomatik hale getirilmiştir. Antlaşmaya taraf olan Üye Devletler kamu borçlanmasına ilişkin planlarını Avrupa Komisyonu ve AB Konseyi ile paylaşmakla yükümlüdür.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Tüm bunların yanında Avro Alanı’na üye ülkelerin devlet ve hükümet başkanlarının, Avrupa Komisyonu temsilcisinin de katılımıyla senede iki defa Avro Zirvesi’nde bir araya gelmeleri kabul edilmiştir.</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Menkul Kıymetler Piyasaları Programı</w:t>
      </w:r>
    </w:p>
    <w:p w:rsidR="00497A84" w:rsidRPr="00DA3794" w:rsidRDefault="00497A84" w:rsidP="00497A84">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Securities Markets Programme</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Merkez Bankası’nın, Avro Alanı’ndaki kamu ve özel sektör borçlarına ilişkin menkul değerler piyasalarına Avro Sistemi ile müdahale ederek, bu piyasalarda uygun para politikası aktarım mekanizmasının oluşturulması ve böylece orta vadede fiyat istikrarını sağlanmasıdır. Bu müdahaleler para arzını artırmayacak şekilde piyasaya enjekte edilen likiditenin yeniden absorbe edilmesine yönelik özel operasyonlarla sağlanmakta ve böylece para politikasının bozulması önlenmektedir.</w:t>
      </w:r>
    </w:p>
    <w:p w:rsidR="00497A84" w:rsidRPr="00DA3794" w:rsidRDefault="00497A84">
      <w:pPr>
        <w:rPr>
          <w:rFonts w:ascii="Times New Roman" w:hAnsi="Times New Roman" w:cs="Times New Roman"/>
          <w:sz w:val="28"/>
          <w:szCs w:val="28"/>
        </w:rPr>
      </w:pPr>
    </w:p>
    <w:p w:rsidR="00497A84" w:rsidRPr="00DA3794" w:rsidRDefault="00497A84" w:rsidP="00497A84">
      <w:pPr>
        <w:pStyle w:val="Balk1"/>
        <w:spacing w:before="0" w:beforeAutospacing="0" w:after="0" w:afterAutospacing="0"/>
        <w:rPr>
          <w:color w:val="003F82"/>
          <w:sz w:val="28"/>
          <w:szCs w:val="28"/>
        </w:rPr>
      </w:pPr>
      <w:r w:rsidRPr="00DA3794">
        <w:rPr>
          <w:color w:val="003F82"/>
          <w:sz w:val="28"/>
          <w:szCs w:val="28"/>
        </w:rPr>
        <w:t>O</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Orta vadeli bütçe hedefi</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rStyle w:val="Vurgu"/>
          <w:color w:val="333333"/>
          <w:sz w:val="28"/>
          <w:szCs w:val="28"/>
        </w:rPr>
        <w:t>Medium term budgetary objective</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Orta vadeli bütçe hedefi kamu ve özel sektöre yol haritası sunmak amacıyla hazırlanır. Birçok alanda birbiriyle tutarlı bir politika ve öncelikler seti sunar. Uygulama sonucunda gelişmeler ve değişmeler göz önünde bulundurularak yenilenir. </w:t>
      </w:r>
    </w:p>
    <w:p w:rsidR="00497A84" w:rsidRPr="00DA3794" w:rsidRDefault="00497A84">
      <w:pPr>
        <w:rPr>
          <w:rFonts w:ascii="Times New Roman" w:hAnsi="Times New Roman" w:cs="Times New Roman"/>
          <w:sz w:val="28"/>
          <w:szCs w:val="28"/>
        </w:rPr>
      </w:pPr>
    </w:p>
    <w:p w:rsidR="00497A84" w:rsidRPr="00DA3794" w:rsidRDefault="00497A84">
      <w:pPr>
        <w:rPr>
          <w:rFonts w:ascii="Times New Roman" w:hAnsi="Times New Roman" w:cs="Times New Roman"/>
          <w:sz w:val="28"/>
          <w:szCs w:val="28"/>
        </w:rPr>
      </w:pPr>
    </w:p>
    <w:p w:rsidR="00497A84" w:rsidRPr="00DA3794" w:rsidRDefault="00497A84" w:rsidP="00497A84">
      <w:pPr>
        <w:pStyle w:val="Balk1"/>
        <w:spacing w:before="0" w:beforeAutospacing="0" w:after="0" w:afterAutospacing="0"/>
        <w:rPr>
          <w:color w:val="003F82"/>
          <w:sz w:val="28"/>
          <w:szCs w:val="28"/>
        </w:rPr>
      </w:pPr>
      <w:r w:rsidRPr="00DA3794">
        <w:rPr>
          <w:color w:val="003F82"/>
          <w:sz w:val="28"/>
          <w:szCs w:val="28"/>
        </w:rPr>
        <w:t>Ö</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Özel Sektör Borcu</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rStyle w:val="Vurgu"/>
          <w:color w:val="333333"/>
          <w:sz w:val="28"/>
          <w:szCs w:val="28"/>
        </w:rPr>
        <w:t>Private Debt</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Özel sektör borcu, bir ülkede bireyler, şirketler ve hane halklarının toplam borcunu tanımlamak için kullanılmaktadır.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Özel sektör borçluluğunun yüksek olması, şirketler borçlarını azaltmaya ve bilançolarını küçültmeye odaklanacakları için yatırımın gerilemesine, aşırı borçlanan hane halkının tüketici harcamasının azalmasına, gayrimenkul fiyatlarının düşmesine ve bankaların borç verme kapasitesinin azalmasına yol açar. Bununla birlikte, büyük boyuttaki özel sektör borcunun kamu sektörü bilançosuna aktarılmasıyla sonuçlanacağı için de kamu sektörü borçlarının sürdürülebilirliğini olumsuz etkiler. Avro Alanı’ndaki borçlanma krizi, kamu borcunun yol açtığı bir kriz olarak nitelendirilse de İrlanda ve İspanya’da krizin temel nedeni, kamu borcundan çok, yüksek özel sektör borcu olarak gösterilmektedir. Makroekonomik Dengesizlik Prosedürü’ne göre, ülkelerin özel sektör borcunun GSYİH’ye oranının yüzde 160 eşiğini geçmemesi şartı bulunmasına rağmen, birçok AB ülkesinde özel sektörün borç stoku büyük bir sorun teşkil etmektedir.</w:t>
      </w:r>
    </w:p>
    <w:p w:rsidR="00497A84" w:rsidRPr="00DA3794" w:rsidRDefault="00497A84">
      <w:pPr>
        <w:rPr>
          <w:rFonts w:ascii="Times New Roman" w:hAnsi="Times New Roman" w:cs="Times New Roman"/>
          <w:sz w:val="28"/>
          <w:szCs w:val="28"/>
        </w:rPr>
      </w:pPr>
    </w:p>
    <w:p w:rsidR="00497A84" w:rsidRPr="00DA3794" w:rsidRDefault="00497A84">
      <w:pPr>
        <w:rPr>
          <w:rFonts w:ascii="Times New Roman" w:hAnsi="Times New Roman" w:cs="Times New Roman"/>
          <w:sz w:val="28"/>
          <w:szCs w:val="28"/>
        </w:rPr>
      </w:pPr>
    </w:p>
    <w:p w:rsidR="00497A84" w:rsidRPr="00DA3794" w:rsidRDefault="00497A84" w:rsidP="00497A84">
      <w:pPr>
        <w:pStyle w:val="Balk1"/>
        <w:spacing w:before="0" w:beforeAutospacing="0" w:after="0" w:afterAutospacing="0"/>
        <w:rPr>
          <w:color w:val="003F82"/>
          <w:sz w:val="28"/>
          <w:szCs w:val="28"/>
        </w:rPr>
      </w:pPr>
      <w:r w:rsidRPr="00DA3794">
        <w:rPr>
          <w:color w:val="003F82"/>
          <w:sz w:val="28"/>
          <w:szCs w:val="28"/>
        </w:rPr>
        <w:t>P</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Proje Tahvilleri</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rStyle w:val="Vurgu"/>
          <w:color w:val="333333"/>
          <w:sz w:val="28"/>
          <w:szCs w:val="28"/>
        </w:rPr>
        <w:t>Project Bonds</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Altyapı projelerine sigorta şirketleri ve emeklilik fonları gibi kurumsal yatırımcılardan daha fazla özel sermaye çekmek için tasarlanmış olan proje tahvilleri girişimi, Trans-Avrupa ağları kapsamındaki büyük çaplı ulaşım, enerji ve geniş bant telekomünikasyon altyapısı projelerinin finansmanının sermaye piyasalarından karşılanmasını teşvik etmeyi amaçlamaktadır. Proje tahvilleri uygulaması, projeyi gerçekleştirecek firma tarafından ihraç edilen tahvillerin kredi güvenirliği artırılarak, yatırımcılara çekici hale getirilmesi ile projenin finansmanı için gerekli maliyetin düşürülmesi mümkün olacaktır.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Avrupa Komisyonu’na göre, Avrupa 2020 Stratejisi kapsamında Trans-Avrupa Ulaşım Ağları (TEN-T), Trans-Avrupa Enerji Ağları (TEN-E) ve bilgi iletişim teknolojisi (ICT) alanlarında belirlenen hedeflere ulaşılması için mevcut AB altyapısına 2 trilyon avronun üzerinde yatırım yapılması gerekmektedir. Kriz nedeniyle büyük kesintilere uğrayan kamu bütçeleri, alt- yapı projelerinin finanse edilmesine özel sektör katılımının önemini artırmaktadır. Buradan hareketle, Avrupa Komisyonu Başkanı José Manuel Barroso, 2010 yılında yaptığı “Birliğin Durumu” başlıklı konuşmasında, altyapı projeleri için gerekli fonların sağlanması için Avrupa 2020 Proje Tahvilleri Girişimi teklifini sunmuştur. Proje tahvilleri girişiminin yasal dayanağı ise 2012 yılında AP ve AB Ekonomik ve Mali İşler Konseyi tarafından kabul edilmiştir. Proje Tahvilleri, ayrıca Avrupa 2020 Stratejisi’nin bir parçası olan ve enerji, ulaşım ve telekomünikasyon projelerinin etkin bir şekilde uygulanmasının sağlan- ması için uzun vadeli bir mali çerçeve oluşturmayı amaçlayan, Avrupa’yı Birleştirme Aracı (Connecting Europe Facility - CEF) kapsamında öngörülen finansal araçlardan birini oluşturmaktadır.</w:t>
      </w:r>
    </w:p>
    <w:p w:rsidR="00497A84" w:rsidRPr="00DA3794" w:rsidRDefault="00497A84">
      <w:pPr>
        <w:rPr>
          <w:rFonts w:ascii="Times New Roman" w:hAnsi="Times New Roman" w:cs="Times New Roman"/>
          <w:sz w:val="28"/>
          <w:szCs w:val="28"/>
        </w:rPr>
      </w:pPr>
    </w:p>
    <w:p w:rsidR="00497A84" w:rsidRPr="00DA3794" w:rsidRDefault="00497A84" w:rsidP="00497A84">
      <w:pPr>
        <w:spacing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R</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Reel Ekonomi</w:t>
      </w:r>
    </w:p>
    <w:p w:rsidR="00497A84" w:rsidRPr="00DA3794" w:rsidRDefault="00497A84" w:rsidP="00497A84">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Real Economy</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Mal ve hizmet üreten sektörlere reel ekonomi sektörleri denir. Bu sektörlerin faaliyetleri reel ekonomiyi oluşturur. Örnek olarak madencilik, turizm, tarım, hayvancılık, inşaat sektörleri verilebilir. Bankacılık, sigortacılık ve sermaye piyasaları gibi, parayı temel alan sektörlerin faaliyetleri ise reel olmayan ekonomiyi oluşturur. </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Rekabet Paktı</w:t>
      </w:r>
    </w:p>
    <w:p w:rsidR="00497A84" w:rsidRPr="00DA3794" w:rsidRDefault="00497A84" w:rsidP="00497A84">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Competitiveness Pact</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Almanya Başbakanı Merkel ve Fransa Cumhurbaşkanı Sarkozy’nin girişimiyle, Avro Alanı’ndaki rekabet gücünü artırmak ve daha güçlü bir ekonomik yönetişim çerçevesi oluşturmak için, 4 Şubat 2011 tarihinde, AB Konseyi’ne “Rekabet Paktı” adı altında bir dizi öneri sunulmuştur.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Avro Alanı’nın rekabet gücünü artırmak için önerilen Pakt, altı maddelik bir programdan oluşmaktadır. Öngörülen maddeler sırasıyla şunlardır:</w:t>
      </w:r>
    </w:p>
    <w:p w:rsidR="00497A84" w:rsidRPr="00DA3794" w:rsidRDefault="00497A84" w:rsidP="00497A84">
      <w:pPr>
        <w:numPr>
          <w:ilvl w:val="0"/>
          <w:numId w:val="22"/>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Ücret/maaş artışlarını fiyat artışlarına endeksleyen sistemlerin kaldırılması;</w:t>
      </w:r>
    </w:p>
    <w:p w:rsidR="00497A84" w:rsidRPr="00DA3794" w:rsidRDefault="00497A84" w:rsidP="00497A84">
      <w:pPr>
        <w:numPr>
          <w:ilvl w:val="0"/>
          <w:numId w:val="22"/>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Avrupa’da çalışanların hareketliliğini teşvik etmek amacıyla diplomaların ve mesleki yeterliliklerin karşılıklı tanınmasına ilişkin bir anlaşma imzalanması;</w:t>
      </w:r>
    </w:p>
    <w:p w:rsidR="00497A84" w:rsidRPr="00DA3794" w:rsidRDefault="00497A84" w:rsidP="00497A84">
      <w:pPr>
        <w:numPr>
          <w:ilvl w:val="0"/>
          <w:numId w:val="22"/>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Kurumlar gelir vergisi için ortak bir değerlendirme sağlayacak zeminin oluşturulması;</w:t>
      </w:r>
    </w:p>
    <w:p w:rsidR="00497A84" w:rsidRPr="00DA3794" w:rsidRDefault="00497A84" w:rsidP="00497A84">
      <w:pPr>
        <w:numPr>
          <w:ilvl w:val="0"/>
          <w:numId w:val="22"/>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Emeklilik sistemlerinin demografik gelişmeleri dikkat alarak gözden geçirilmesi;</w:t>
      </w:r>
    </w:p>
    <w:p w:rsidR="00497A84" w:rsidRPr="00DA3794" w:rsidRDefault="00497A84" w:rsidP="00497A84">
      <w:pPr>
        <w:numPr>
          <w:ilvl w:val="0"/>
          <w:numId w:val="22"/>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Tüm Üye Devletlerin “borç uyarı sistemini” oluşturmaları için gerekli yasal düzenlemeleri hayata geçirmeleri. Banka- lar için ulusal kriz yönetimi sistemlerinin kurulması.</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Ancak Almanya ve Fransa’nın sunduğu bu girişim, diğer Üye Devletlerin bir kısmı tarafından desteklenmemiştir. Bazı Üye Devletler, özellikle yukarıda belirtilen maddeler için taahhütte bulunmak istememişlerdir. Bu durum karşısında, söz konusu Paktın kapsamı yumuşatılarak yeni bir çerçeve oluşturması yönünde karar alınmış ve bu yeni çerçeve de Avro Paktı / Avro Artı Paktı adı altında tekrar gündeme getirilmiştir. Mart 2011’de ise Avro Alanı liderleri, Avro Paktı üzerinde anlaşmaya varmışlardır.</w:t>
      </w:r>
    </w:p>
    <w:p w:rsidR="00497A84" w:rsidRPr="00DA3794" w:rsidRDefault="00497A84">
      <w:pPr>
        <w:rPr>
          <w:rFonts w:ascii="Times New Roman" w:hAnsi="Times New Roman" w:cs="Times New Roman"/>
          <w:sz w:val="28"/>
          <w:szCs w:val="28"/>
        </w:rPr>
      </w:pPr>
    </w:p>
    <w:p w:rsidR="00497A84" w:rsidRPr="00DA3794" w:rsidRDefault="00497A84">
      <w:pPr>
        <w:rPr>
          <w:rFonts w:ascii="Times New Roman" w:hAnsi="Times New Roman" w:cs="Times New Roman"/>
          <w:sz w:val="28"/>
          <w:szCs w:val="28"/>
        </w:rPr>
      </w:pPr>
    </w:p>
    <w:p w:rsidR="00497A84" w:rsidRPr="00DA3794" w:rsidRDefault="00497A84" w:rsidP="00497A84">
      <w:pPr>
        <w:spacing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S</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Saç Tıraşı</w:t>
      </w:r>
    </w:p>
    <w:p w:rsidR="00497A84" w:rsidRPr="00DA3794" w:rsidRDefault="00497A84" w:rsidP="00497A84">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Haircut</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Merkez Bankası tarafından, dayanak varlıklar için uygulanan bir risk kontrol önlemidir. Buna göre, dayanak varlıkların değeri belirli bir yüzde oranı şeklinde hesaplanır ve bu yüzde oranına “saç tıraşı” ismi verilir. Bunun amacı, gösterilen teminata karşı bankaların, teminatı nakde çevirme gereği ortaya çıktığında menkul değerin piyasa değerindeki düşüşlerden kaynaklanabilecek kayıplara karşı kendilerini koruma ihtiyacıdır. Risk kontrol önlemleri, özellikle Avro sistemi kredi operasyonlarında, dayanak varlıkları, karşı tarafın iflası durumunda finansal kayıplara karşı korumak için uygulanmaktadır. Risk kontrol araçları Avro Alanı için uyumlaştırılmıştır ve hangi aracın kullanılacağına Avrupa Merkez Bankası karar verir. Avro sisteminde krediler ancak teminat karşılığında verilmektedir. Merkez bankası ve kredi bankası operasyonları için güvence olarak gösterilen dayanak varlıklar, teminat olarak adlandırılmaktadır. Kabul edilmeleri için bu varlıkların bazı kriterlere uygun olması şartı aranır. Saç tıraşı, varlığın risk düzeyi ile orantılı olarak hesaplanır.</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Sermaye Yeterliliğine ilişkin Dördüncü Paket</w:t>
      </w:r>
    </w:p>
    <w:p w:rsidR="00497A84" w:rsidRPr="00DA3794" w:rsidRDefault="00497A84" w:rsidP="00497A84">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Capital Requirements Package (CRD IV/CRR)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Sermaye Yeterliliğine ilişkin oluşturulan yeni Paket (CRD IV/CRR) ile Basel III Anlaşması kapsamında, uluslararası ihtiyati bankacılık kurallarının AB geneline adapte edilmesi öngörülmektedir. 20 Temmuz 2011 tarihinde kabul edilen bir Yönerge ve bir Tüzük’ten oluşan bu yeni Paket, 2006/48 ve 2006/49 Sayılı Sermaye Yeterliliği Yönergeleri’nin (CRD) yerine geçmekte ve böylelikle AB bankaları ve yatırım şirketlerinin sermaye yeterliliklerine ilişkin yasal zemi oluşturmaktadır.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Bu yeni mevzuat ile AB bankacılık sektöründe esnekliğin artırılması ve bankaların ekonomi faaliyeti ve büyümeyi finanse etmelerinin temin edilmesi amaçlanmaktadır. CRD IV Paketi, Avrupa bankalarının ihtiyaç duydukları sermayeyi ve likiditeleri artırılmaları ve böylelikle yine bankaların krize karşı daha sağlam zeminde olmalarını hedeflemektedir. Diğer yandan da banka denetim mekanizmasında bir Avrupa çerçevesi oluşturularak, tek kural kullanılması amaçlanmaktadır. Bu paket ile getirilen önemli değişiklikler ise şunlardır:</w:t>
      </w:r>
    </w:p>
    <w:p w:rsidR="00497A84" w:rsidRPr="00DA3794" w:rsidRDefault="00497A84" w:rsidP="00497A84">
      <w:pPr>
        <w:numPr>
          <w:ilvl w:val="0"/>
          <w:numId w:val="23"/>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Kaldıraç oranı (leverage cap) getirilmesi,</w:t>
      </w:r>
    </w:p>
    <w:p w:rsidR="00497A84" w:rsidRPr="00DA3794" w:rsidRDefault="00497A84" w:rsidP="00497A84">
      <w:pPr>
        <w:numPr>
          <w:ilvl w:val="0"/>
          <w:numId w:val="23"/>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Sermayenin tanımlanmasının güçlendirilmesi,</w:t>
      </w:r>
    </w:p>
    <w:p w:rsidR="00497A84" w:rsidRPr="00DA3794" w:rsidRDefault="00497A84" w:rsidP="00497A84">
      <w:pPr>
        <w:numPr>
          <w:ilvl w:val="0"/>
          <w:numId w:val="23"/>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Bazı gölge banka konularının ele alınması.</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14 Aralık 2011 tarihinde Avrupa Parlamentosu Raportörü Avusturyalı parlamenter Othmar Karas, CRD IV/CRR mevzuat anlaşma taslağını yayımlanmış ve bu anlaşma 30 Mayıs 2012 tarihinde AB Ekonomi ve Maliye Bakanları Konseyi tarafından kabul edilmiştir. Bu anlaşmanın 1 Ocak 2014 tarihinde yürürlüğe girmesi öngörülmüştür.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Bu anlaşma çerçevesindeki ilgili düzenlemeler kapsamında, üye ülkelerin ilave kurallar getirmeleri halinde, sermaye gereksinimlerini toplam varlıklarının yüzde 8’ine kadar çıkarmaları gerekmektedir. Bankaların 30 günlük nakit akımını sağlayacak düzeyde nakit bulundurmaları istenmektedir. Ayrıca, şeffaflık kuralları gereği, bankaların kâr ve vergilere ilişkin detayları ülke bazında birbirlerine iletmeleri beklenmektedir. Bu Paket kapsamında alınan bir diğer önemli önlem de banka çalışanlarına ödenen primlere ilişkindir. Bu kapsamda, bankacılara ödenen primlere bir tavan faiz oranı sınırlaması getirilmektedir. Böylelikle bankaların çalışanlarına vereceği primlerin sabit maaş miktarının üzerine çıkmaması; ancak hissedarlar tarafından onaylanması halinde yıllık maaşın iki katı prim verilebilmesi öngörülmektedir. Primlere ilişkin uygulamanın, 2015 yılında itibaren hayata geçirilmesi beklenmektedir.</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S&amp;P</w:t>
      </w:r>
    </w:p>
    <w:p w:rsidR="00497A84" w:rsidRPr="00DA3794" w:rsidRDefault="00497A84" w:rsidP="00497A84">
      <w:pPr>
        <w:spacing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Standard &amp; Poors</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ABD kuruluşu olup merkezi New York’ta bulunan uluslararası düzeyde bir kredi değerlendirme kuruluşudur. S&amp;P’nin ülkelere verdiği kredi notuna göre bu ülkelere kredi vermek isteyen yatırımcılar, ülkelerin kredi uygunluğunu göz önüne alıp buna göre faizleri değerlendirmeye alırlar.</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Stres Testleri</w:t>
      </w:r>
    </w:p>
    <w:p w:rsidR="00497A84" w:rsidRPr="00DA3794" w:rsidRDefault="00497A84" w:rsidP="00497A84">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Stress Tests</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Genel anlamıyla stres testleri, olumsuz ekonomik ve finansal gelişmelerin meydana gelmesi halinde, bunlara karşı sağlam bir şekilde ayakta durabilmeleri için bankaların ve kredi kuruluşlarının yeterli düzeyde sermaye bulundurup bulundurmadıklarının tespitidir. Stres testleri, banka ve kredi kurumlarının kendi bünyelerinde risk yönetimi kapsamında ya da bankacılık sektörü denetim kurumlarının düzenleme ve denetim faaliyetleri kapsamında yürütülür. Söz konusu testlerin amacı, bankacılık sisteminde zayıf noktaların erken aşamada tespit edilmesi ve bankalar ve düzenleyici kurumlar tarafından önleyici tedbirlerin alınmasıdır. Avrupa Bankacılık Kurumu, AB’de finansal piyasaların düzgün işlemesinden sorumlu olarak, mikro düzeyde potansiyel risklerin ve kırılganlıkların tespiti ve önlenmesi göreviyle AB genelinde stres testleri gerçekleştirir. Avrupa Bankacılık Otoritesi, Avrupa Sistemik Risk Kurulu, Avrupa Merkez Bankası ve Avrupa Komisyonu’yla birlikte stres testlerini yürütür.</w:t>
      </w:r>
    </w:p>
    <w:p w:rsidR="00497A84" w:rsidRPr="00DA3794" w:rsidRDefault="00497A84">
      <w:pPr>
        <w:rPr>
          <w:rFonts w:ascii="Times New Roman" w:hAnsi="Times New Roman" w:cs="Times New Roman"/>
          <w:sz w:val="28"/>
          <w:szCs w:val="28"/>
        </w:rPr>
      </w:pPr>
    </w:p>
    <w:p w:rsidR="00497A84" w:rsidRPr="00DA3794" w:rsidRDefault="00497A84">
      <w:pPr>
        <w:rPr>
          <w:rFonts w:ascii="Times New Roman" w:hAnsi="Times New Roman" w:cs="Times New Roman"/>
          <w:sz w:val="28"/>
          <w:szCs w:val="28"/>
        </w:rPr>
      </w:pPr>
    </w:p>
    <w:p w:rsidR="00497A84" w:rsidRPr="00DA3794" w:rsidRDefault="00497A84" w:rsidP="00497A84">
      <w:pPr>
        <w:pStyle w:val="Balk1"/>
        <w:spacing w:before="0" w:beforeAutospacing="0" w:after="0" w:afterAutospacing="0"/>
        <w:rPr>
          <w:color w:val="003F82"/>
          <w:sz w:val="28"/>
          <w:szCs w:val="28"/>
        </w:rPr>
      </w:pPr>
      <w:r w:rsidRPr="00DA3794">
        <w:rPr>
          <w:color w:val="003F82"/>
          <w:sz w:val="28"/>
          <w:szCs w:val="28"/>
        </w:rPr>
        <w:t>T</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Tek Avro Ödeme Alanı</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rStyle w:val="Vurgu"/>
          <w:color w:val="333333"/>
          <w:sz w:val="28"/>
          <w:szCs w:val="28"/>
        </w:rPr>
        <w:t>Single Euro Payments Area (SEPA)</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Tek Avro Ödeme Alanı, Avrupa bankacılık sektörünün Avro Alanı’nda tüm elektronik ödemelerin bir ülkenin içinde olduğu kadar kolaylaştırılmasını sağlamaya yönelik bir girişimidir. Söz konusu girişim, Avrupa Komisyonu ve Avrupa Merkez Bankası tarafından desteklenmektedir. Ödeme Hizmetleri Direktifi, Tek Avro Ödeme Alanı’nın yasal çerçevesini oluşturmaktadır.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Bu girişim ile Avro Alanı’nın her yerinden banka hesapları arasında hızlı ve güvenli transfer yapılabilecek ve yurt dışında alışveriş yaparken avro ile ödeme yapmak için banka kartı kullanılabilecektir. Tek Avro Ödeme Alanı ile ilgili ilk ürünler, 2008 başından itibaren piyasaya sürülmeye başlanmıştır. Tek Avro Ödeme Alanı sayesinde tüm elektronik ödemelerin nakit ödeme kadar kolay ve hızlı olması sağlanmaktadır. 2011 itibarıyla tümüyle işlerlik kazanan Tek Avro Ödeme Alanı, SEPA Konseyi tarafından idare edilmektedir. Konseyin eş başkanlığı, Avrupa Komisyonu ve Avrupa Merkez Bankası tarafından yapılmaktadır. Üyeleri, piyasanın kullanıcı tarafından beş temsilci (tüketiciler, perakendeciler, işletmeler ve ulusal otoriteler), tedarikçi tarafından beş temsilci (Avrupa Ödemeler Konseyi, kooperatif bankalar, tasarruf bankaları, ticari bankalar ve ödeme kuruluşları) ve Avro sistemini temsilen dört ulusal merkez bankasının yönetim kurulu üyesinden oluşmaktadır. SEPA Konseyi yılda iki kez toplanmaktadır.</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Tek Banka Çözümleme Mekanizması</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rStyle w:val="Vurgu"/>
          <w:color w:val="333333"/>
          <w:sz w:val="28"/>
          <w:szCs w:val="28"/>
        </w:rPr>
        <w:t>Single Resolution Mechanism</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AB Bankacılık Birliği’nin bir ayağı Tek Denetim Mekanizması, diğer ayağı ise Tek Çözümleme Mekanizmasıdır. Tek Denetim Mekanizması kapsamında Avro Alanı’nda denetlenen bankaların etkin bir şekilde denetlenmesine rağmen mali sorunlar yaşayan bankaların olması halinde, bu bankaların kurtarma ve tasfiye maliyetini karşılayacak ve işlemleri yürütmesi amacıyla Tek Çözümleme Kurulu ve Tek Çözümleme Fonu kurulması öngörülmüştür. Tek Denetim Mekanizmasının amacı iflas eden bankaların, vergi mükelleflerine ve reel ekonomiye maliyetinin minimum düzeye indirilerek tasfiye edilmesidir.  </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Tek Denetim Mekanizması</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rStyle w:val="Vurgu"/>
          <w:color w:val="333333"/>
          <w:sz w:val="28"/>
          <w:szCs w:val="28"/>
        </w:rPr>
        <w:t>Single Supervisory Mechanism (SSM)</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Avro Alanı bankacılık sektöründe tek ve ortak gözetim mekanizması kurulmasını amaçlayan sistemdir. Avrupa Komisyonu tarafından 12 Eylül 2012 tarihinde, Avrupa Bankacılık Birliği’ne ilişkin mevzuat düzenlemesi tasarısı sunulmuştur. Tasarıda ortaya koyulan Tek Denetim Mekanizması, iki mevzuat düzenlemesi ve bankacılık birliğine ilişkin bir tebliğden oluşmaktadır. Paketteki mevzuat düzenlemelerinden biri bankacılık alanında denetim mekanizması kurulmasını, diğeri ise Avrupa Bankacılık Kurumu’nun işleyişinin değiştirilmesine ilişkin düzenlemeleri içermektedir. Bu kapsamda Avrupa Merkez Bankası’na denetim gücü verilirken, Avrupa Bankacılık Kurumu, AB bankalarının mali düzenlemelere uyumunu izleme görevini sürdürecektir. Mevzuat tasarısıyla, Avro Alanı üye ülkelerinin bankacılık alanında gözetimi ve denetiminin tek yetkili kurum olarak Avrupa Merkez Bankası tarafından sağlanması öngörülmektedir. Avro Alanı üyesi olmayan diğer Üye Devletler de talep ettikleri takdirde yakın iş birliği halinde birtakım şartlara bağlı olarak bu mekanizmaya dâhil olabileceklerdir.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Mevzuat tasarısı, Avro Alanı’nda bankacılık lisanslarının düzenlenmesi, verilmesi ya da iptali, denetim amacıyla stres testlerinin yürütülmesi gibi Avrupa Merkez Bankası’nın yürüteceği birtakım özel görevleri tanımlamaktadır. Avrupa Merkez Bankası, aynı zamanda ilave sermaye gereksinimi gibi gerektiğinde bankalara daha yüksek ihtiyati tedbirler uygulayabilecektir. Bu amaçla, Avrupa Merkez Bankası’na görevini icra etmesi için denetim ve soruşturma yetkileri verilecektir. Avro Alanı ülkelerinin ulusal denetim kurumları, Avrupa Merkez Bankası’nın “aracı kurumları” olarak Avrupa Merkez Bankası’nın denetimine yardımcı olacak ve talimatlarını takip edeceklerdir. Avrupa Merkez Bankası’nın, Tek Denetim Mekanizması çerçevesinde denetim görevlerini 1 Mart 2014 tarihinde veya ilgili düzenlemenin yürürlüğe girmesinden 12 ay sonra üstlenmesi öngörülmüştür.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Avsurpa Komisyonu'nun Tek Denetim Mekanizması kurulmasına ilişkin teklifi, 12 Eylül 2013 tarihinde Avrupa Parlamentosu tarafından onaylanmış; 15 Ekim 2013 tarihinde Tek Denetim Mekanizmasına ilişkin EU 1024/2013 sayılı tüzük ve 22 Ekim tarihinde Avrupa Merkez Bankası'na bankaları denetleme görevi veren EU 1022/2013 AB Konseyi tarafından kabul edilmiştir. Tek Denetim Mekanizmasına ilişkin Tüzük, 4 Kasım 2013 tarihinde yürürlüğe girmiştir. Bir yıllık geçiş sürecinin tamamlanmasının ardından Avrupa Merkez Bankası, tek denetim görevini 4 Kasım 2014 tarihi itibarıyla üstlenmiştir.</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Teminatlı Tahvil Programı</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rStyle w:val="Vurgu"/>
          <w:color w:val="333333"/>
          <w:sz w:val="28"/>
          <w:szCs w:val="28"/>
        </w:rPr>
        <w:t>Covered Bond Programme (CBP)</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Alternatif yatırım aracı olan teminatlı tahviller, şirket tahvilleri olup, bunları çıkaran şirketlerin taahhütlerini yerine getirememeleri durumunda, tahvil sahibi yatırımcıların şirketin elindeki varlıklar üzerinden borçlarını karşılayacak şekilde hak talep etmelerine imkân tanır. AMB Yönetim Konseyi, 7 Mayıs 2009 tarihinde Teminatlı Tahvil Alım Programı’nı başlatmaya karar vermiş, programın teknik detayları 4 Haziran 2009 tarihinde açıklanmıştır. Programın amacı, bankaların fonlanması için önemli olan belirli finansal piyasaların desteklenmesidir. 30 Haziran 2010’da tamamlanan program sırasında, birincil ve ikincil piyasalardan 60 milyar avro tutarında teminatlı tahvil alımı yapılmıştır.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Kasım 2011’de, Teminatlı Tahvil Alım Programı yinelenmiş; kredi kurumları ve şirketler için finansman koşullarını iyileştirmeyi ve kredi kurumlarının müşterilerine borç vermelerini teşvik etmeyi amaçlayan bu ikinci programla birincil ve ikincil piyasalardan 40 milyar avro tutarında alım yapılmıştır. İkinci Teminatlı Tahvil Alım Programı Ekim 2012’de sona ermiştir.</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Toksik Varlıklar</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rStyle w:val="Vurgu"/>
          <w:color w:val="333333"/>
          <w:sz w:val="28"/>
          <w:szCs w:val="28"/>
        </w:rPr>
        <w:t>Toxic Assets</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Önemli oranda değer kaybeden finansal varlıklara verilen isimdir, Böyle bir durumda, bu varlıkların uygun ücrete satılabileceği işlevsel bir piyasa bulunmamaktadır. Toksik varlıklar piyasası işlevselliğini kaybettiğinde, donmuş varlıklar (frozen assets) olarak nitelendirilmektedir. Ekonomik şartlar ve dış piyasa ortamı, bu varlıkların değerlerinin belirlenmesinde önemli bir rol oynamaktadır. Toksik varlıklar, özellikle 2008 yılında meydana gelen finansal krizden sonra önem kazanmıştır.</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Transatlantik Ticaret ve Yatırım Ortaklığı</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rStyle w:val="Vurgu"/>
          <w:color w:val="333333"/>
          <w:sz w:val="28"/>
          <w:szCs w:val="28"/>
        </w:rPr>
        <w:t>Transatlantic Trade and Investment Partnership</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28 Kasım 2011 tarihinde düzenlenen AB-ABD Zirvesi’nde, küresel ekonomik ve mali krize karşı ABD ve AB’de büyümeyi canlandırmak ve istihdam yaratmak için iki ekonomi arasındaki ticari ilişkilerin güçlendirilmesi ve iki bölge arasında bir ticaret anlaşması çerçevesinin hazırlanmasına yönelik çalışma grubunun oluşturulmasına karar verilmiştir. İlgili çalışma grubu tarafından 11 Şubat 2013 tarihinde yayımlanan nihai raporda, AB ve ABD arasında kapsamlı bir ticaret ve yatırım anlaşması için müzakerelerin başlatılmasının önerilmesi üzerine, ABD Başkanı Obama ve AB liderleri, kapsamlı bir ticaret ve yatırım anlaşmasını hayata geçirmek istediklerini açıklamışlardır. Söz konusu anlaşmanın müzakerelerinde, tarım ve sanayi ürünleri için tarifelerin serbestleştirilmesi, hizmet ticaretinin serbestleştirilmesi, kamu ihalelerine yönelik yatırımların teşvik edilmesi ve bunlara erişiminin kolaylaştırılması, taraflar arasındaki düzenlemelerin uyumlaştırılması, tarife dışı engellerin kaldırılmasının yanı sıra ticaret kuralları, çevre, sürdürülebilir kalkınma ve fikri mülkiyet haklarına ilişkin maddelerin de ele alınması öngörülmektedir. Bu anlaşma ile AB ve ABD’nin özellikle pazar erişimi, düzenlemeler ve tarife dışı engeller alanında önemli sonuçlar elde etmeleri beklenmektedir.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Avrupa Komisyonu’nun 18 Temmuz 2012 tarihinde yayımladığı bir raporda, dış ticaretin serbestleştirilmesinin AB’nin ekonomik büyümesi ve istihdamı üzerindeki etkileri incelenmiştir. Bu rapora göre AB ile ABD arasındaki ticaretin serbestleştirilmesi yüzde 5,2 oranında büyüme yaratacak; ihracatı yüzde 1,4, ithalatı ise yüzde 1,35 oranında artıracaktır.</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Troyka</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rStyle w:val="Vurgu"/>
          <w:color w:val="333333"/>
          <w:sz w:val="28"/>
          <w:szCs w:val="28"/>
        </w:rPr>
        <w:t>Troika</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Avro Alanı borç krizi bağlamında Troyka, kurtarma paketi talebinde bulunan ülkelere verilen kurtarma paketlerinin koşullarının uygulanmasını izlemekle görevli üç kuruluşu; Avrupa Komisyonu, AMB ve IMF üçlüsünü tanımlamak için kullanılmaktadır.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Kurtarma paketi kapsamındaki yardımlar, farklı dilimler halinde, troyka heyetine bağlı müfettişlerin onayına bağlı ola- rak verilmektedir. Bu nedenle, troyka heyetine bağlı müfettişlerin kurtarma paketi alan ülkelerin kabul ettikleri reformları uygulamaktaki performansları hakkındaki görüşleri, bir sonraki kredi diliminin zamanlaması bakımından da önem taşımaktadır. Troyka kapsamında Avrupa Komisyonu, Avrupa Merkez Bankası ve IMF arasındaki iş birliği; ülkelerin tekrar sürdürülebilir ekonomik büyüme ve istihdam yaratma yoluna sokabilmeleri için gerekli politikaların uygulamasına yönelik yapılan görüşmelerde azami tutarlılık ve etkinliğin sağlanması amaçlamaktadır.</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Türev Araçlar</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rStyle w:val="Vurgu"/>
          <w:color w:val="333333"/>
          <w:sz w:val="28"/>
          <w:szCs w:val="28"/>
        </w:rPr>
        <w:t>Derivatives</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Değeri başka bir finansal varlığın veya malın değerine doğrudan bağlı olan veya dayanak varlıktan türeyen finansal araçlardır. İki veya daha çok taraf arasında bir sözleşme olan türev araçların değeri, dayanak varlığın değerindeki dalgalanmalar ile belirlenmektedir. En yaygın dayanak varlıklar, hisse senetleri, bonolar, emtia, para birimleri, faiz oranları ve piyasa endeksleridir. Türev araçlar genellikle yüksek riskli yatırım araçlarıdır. Vadeli işlem ve opsiyon sözleşmeleri, forward ve swap sözleşmeleri en yaygın türev araçlardır.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AB’de yaşanan ekonomik kriz, türev araçlarla ilgili risklerin tezgâh üstü piyasada yeterince karşılanmadığını ortaya çıkarmıştır. Bu bağlamda Komisyon, bu risklerin azaltılmasına yönelik çalışmalar yapmış ve finansal türevlere ilişkin 648/2012 Sayılı Tüzük, 16 Ağustos 2012’de yürürlüğe girmiştir. Tüzük, Eylül 2009’da Pittsburgh’daki G-20 Zirvesi’nde verilen taahhütlerin yerine getirilmesini ve finansal piyasalar için daha güvenli bir düzenleyici çerçeve oluşturulmasını da sağlamıştır. Tüzük uyarınca, Avrupa’daki tüm türev araç işlemleri ticari veri tabanına raporlanacak ve bu veriler Avrupa Menkul Kıymetler ve Piyasalar Otoritesi de dâhil olmak üzere, tüm denetim makamlarının erişimine açık olacaktır. Tüzük, ayrıca türev araç sözleşmelerinin merkezi karşı taraflarca gerçekleştirilmesini şart koşmakta ve merkezi karşı taraflar için sıkı örgütsel ve davranışsal koşullar getirmektedir. Komisyon, 19 Aralık 2012 tarihinde tezgâh üstü türev araçlar, merkezi karşı taraflar ve ticari işlem veri tabanı ile ilgili bu Tüzüğü tamamlayan dokuz düzenleyici ve uygulamaya dönük teknik standartları kabul etmiştir.</w:t>
      </w:r>
    </w:p>
    <w:p w:rsidR="00497A84" w:rsidRPr="00DA3794" w:rsidRDefault="00497A84">
      <w:pPr>
        <w:rPr>
          <w:rFonts w:ascii="Times New Roman" w:hAnsi="Times New Roman" w:cs="Times New Roman"/>
          <w:sz w:val="28"/>
          <w:szCs w:val="28"/>
        </w:rPr>
      </w:pPr>
    </w:p>
    <w:p w:rsidR="00497A84" w:rsidRPr="00DA3794" w:rsidRDefault="00497A84">
      <w:pPr>
        <w:rPr>
          <w:rFonts w:ascii="Times New Roman" w:hAnsi="Times New Roman" w:cs="Times New Roman"/>
          <w:sz w:val="28"/>
          <w:szCs w:val="28"/>
        </w:rPr>
      </w:pPr>
    </w:p>
    <w:p w:rsidR="00497A84" w:rsidRPr="00DA3794" w:rsidRDefault="00497A84" w:rsidP="00497A84">
      <w:pPr>
        <w:pStyle w:val="Balk1"/>
        <w:spacing w:before="0" w:beforeAutospacing="0" w:after="0" w:afterAutospacing="0"/>
        <w:rPr>
          <w:color w:val="003F82"/>
          <w:sz w:val="28"/>
          <w:szCs w:val="28"/>
        </w:rPr>
      </w:pPr>
      <w:r w:rsidRPr="00DA3794">
        <w:rPr>
          <w:color w:val="003F82"/>
          <w:sz w:val="28"/>
          <w:szCs w:val="28"/>
        </w:rPr>
        <w:t>U</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Ulusal Reform Programları</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rStyle w:val="Vurgu"/>
          <w:color w:val="333333"/>
          <w:sz w:val="28"/>
          <w:szCs w:val="28"/>
        </w:rPr>
        <w:t>National Reform Programmes</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Avrupa Sömestri’nin bir parçası olarak her yıl Nisan ayında Üye Devletler tarafından sağlam kamu maliyesi planlarını içeren İstikrar ya da Uyum Programları (Bkz. Büyüme ve İstikrar Paktı) ve akıllı, sürdürülebilir, kapsayıcı büyümeye erişmek için önlemleri içeren Ulusal Reform Programları (Bkz. Avrupa 2020 Stratejisi) hazırlanmaktadır. Mayıs ayında, Avrupa Komisyonu tarafından Üye Devletlerce hazırlanan bu programlar değerlendirilmektedir. Ulusal Reform Programlarında Üye Devletler, Avrupa 2020 hedeflerine ulaşılması için belirledikleri hedefleri yıllık olarak gözden geçirmekte ve uygulamayı planladıkları politikaları ortaya koymaktadırlar.</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Uluslararası Para Fonu</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rStyle w:val="Vurgu"/>
          <w:color w:val="333333"/>
          <w:sz w:val="28"/>
          <w:szCs w:val="28"/>
        </w:rPr>
        <w:t>International Monetary Fund (IMF)</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Uluslararası Para Fonu ya da daha çok bilinen kısaltmasıyla IMF, küresel finansal düzeni takip etmek, borsa, döviz kurları, ödeme planları gibi konularda denetim ve organizasyon yapmak, aynı zamanda teknik ve finansal destek sağlamak gibi görevleri bulunan uluslararası bir kuruluştur. 1944 yılında ABD’nin New Hampshire eyaletindeki Bretton Woods’da kurulan ve 1947’de fiilen çalışmaya başlayan milletlerarası ekonomik meselelerle uğraşan bir teşkilâttır.</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Uyarı Mekanizması Raporu</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rStyle w:val="Vurgu"/>
          <w:color w:val="333333"/>
          <w:sz w:val="28"/>
          <w:szCs w:val="28"/>
        </w:rPr>
        <w:t>Alert Mechanism Report</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13 Aralık 2011 tarihinde yürürlüğe giren “Altılı Paket”te yer alan ve zarar verici makroekonomik dengesizliklerin ortaya çıkmasını önlemeyi ve potansiyel riskleri oluşmadan belirlemeyi amaçlayan “Makroekonomik Dengesizliklere İlişkin Prosedür” kapsamında, Uyarı Mekanizması Raporu hazırlanmaktadır. Çeşitli ekonomik göstergelerden oluşan bir skor tahtası temel alınıp, dengesizlik riskleri incelenerek düzenli olarak değerlendirilmekte ve ciddi dengesizliklerin tespit edildiği Üye Devletler için Aşırı Dengesizlik Prosedürü devreye girmektedir. Uyarı Mekanizması Raporu’nda, makroekonomik dengesizliklerin tespitine yönelik 11 adet ekonomik, mali ve yapısal gösterge ve bunlara ilişkin eşik değerlerden oluşan skor tahtası ele alınarak, üye ülkelerin rekabet gücü, borçluluk durumu, hisse senedi fiyatları, finans sektörüyle ilgili düzenlemeler ve ilişkiler incelenmektedir. Söz konusu verilerin incelenmesinin yanı sıra her üye ülkeye özgü veriler ve bilgiler de değerlendirilmektedir.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Uyarı Mekanizması Raporu ile Avrupa Komisyonu, makroekonomik durumu derinlemesine bir incelemeyle daha ileri bir gözden geçirme gerektiren Üye Devletleri belirler. Derinlemesine gözden geçirmeden sonra Komisyon, dengesizlik ya da aşırı dengesizliğin olup olmadığına karar verir ve uygun politika tavsiyesinde bulunur.</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Uzun Vadeli Refinansman Operasyonu</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rStyle w:val="Vurgu"/>
          <w:color w:val="333333"/>
          <w:sz w:val="28"/>
          <w:szCs w:val="28"/>
        </w:rPr>
        <w:t>Long-term Refinancing Operation</w:t>
      </w:r>
      <w:r w:rsidRPr="00DA3794">
        <w:rPr>
          <w:color w:val="333333"/>
          <w:sz w:val="28"/>
          <w:szCs w:val="28"/>
        </w:rPr>
        <w:t> </w:t>
      </w:r>
      <w:r w:rsidRPr="00DA3794">
        <w:rPr>
          <w:rStyle w:val="Vurgu"/>
          <w:color w:val="333333"/>
          <w:sz w:val="28"/>
          <w:szCs w:val="28"/>
        </w:rPr>
        <w:t>(LTRO)</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Uzun vadeli refinansman operasyonu ile AMB, Avro Alanı’ndaki bankalara finansman sağlamaktadır. Bu operasyonun amacı, likit olmayan aktifleri tutan bankalara likidite sağlayarak bankalar arası borç verme girişimlerini önlemektir. Bu operasyon ile AMB, finansal sektöre uzun vadeli ek finansman sağlamaktadır. Bu operasyonun dışında, ayrıca AMB’nin bankalara sağlığı likiditeler, iki haftalık ya da bir aylık vadelilerdir.</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2008 yılın başına kadar, süresi en uzun vadeli refinansman operasyonu üç aylıktı. Ancak 2008 yılında AB’de ortaya çıkan mali sorunlar ve borç krizi sonucunda, uzun vadeli refinansman operasyonları ile vadeler uzatılmıştır. Örneğin Mart 2008’te AMB ilk altı aylık vadeli, Haziran 2009’ta ilk 12 aylık vadeli ve Aralık 2011’te üç yıllık vadeli uzun vadeli refinansman operasyonu sunmuştur. Avro Alanı’ndaki bankalara sağlanan finansmanın çoğu, uzun vadeli refinansman operasyonu tarafından gerçekleştirilmiştir. Uzun vadeli refinansman operasyonu ile Avro Alanı’ndaki bankalara düşük faiz oranlı finansman enjekte edilmektedir. Böylelikle, bankaların daha fazla likidite elde etmeleri sağlanmıştır. Diğer yandan Avrupa Alanı’nın Üye Devletleri, kendi devlet borcunu kullanarak teminat verebilmektedir.</w:t>
      </w:r>
    </w:p>
    <w:p w:rsidR="00497A84" w:rsidRPr="00DA3794" w:rsidRDefault="00497A84">
      <w:pPr>
        <w:rPr>
          <w:rFonts w:ascii="Times New Roman" w:hAnsi="Times New Roman" w:cs="Times New Roman"/>
          <w:sz w:val="28"/>
          <w:szCs w:val="28"/>
        </w:rPr>
      </w:pPr>
    </w:p>
    <w:p w:rsidR="00497A84" w:rsidRPr="00DA3794" w:rsidRDefault="00497A84">
      <w:pPr>
        <w:rPr>
          <w:rFonts w:ascii="Times New Roman" w:hAnsi="Times New Roman" w:cs="Times New Roman"/>
          <w:sz w:val="28"/>
          <w:szCs w:val="28"/>
        </w:rPr>
      </w:pPr>
    </w:p>
    <w:p w:rsidR="00497A84" w:rsidRPr="00DA3794" w:rsidRDefault="00497A84" w:rsidP="00497A84">
      <w:pPr>
        <w:pStyle w:val="Balk1"/>
        <w:spacing w:before="0" w:beforeAutospacing="0" w:after="0" w:afterAutospacing="0"/>
        <w:rPr>
          <w:color w:val="003F82"/>
          <w:sz w:val="28"/>
          <w:szCs w:val="28"/>
        </w:rPr>
      </w:pPr>
      <w:r w:rsidRPr="00DA3794">
        <w:rPr>
          <w:color w:val="003F82"/>
          <w:sz w:val="28"/>
          <w:szCs w:val="28"/>
        </w:rPr>
        <w:t>Ü</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Ülkeye Özel Tavsiyeler</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rStyle w:val="Vurgu"/>
          <w:color w:val="333333"/>
          <w:sz w:val="28"/>
          <w:szCs w:val="28"/>
        </w:rPr>
        <w:t>Country-specific Recommendations</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Ekonomik kriz, güçlü ekonomik yönetişime ve Üye Devletler arasında daha iyi politika koordinasyonuna duyulan ihtiyacı ortaya koymuştur. Ayrıca Birlik olarak ulaşılması gereken hedefleri dikkate alarak, ulusal bütçe, büyüme ve istihdam politika hedeflerinin daha iyi uyumlaştırılması amaçlanmıştır. Tüm bunlardan hareketle, 2010 yılında Avrupa Sömestri oluşturulmuştur (Bkz. Avrupa Sömestri). Avrupa Sömestri’nin bir parçası olarak her yıl, Avrupa Komisyonu tarafından Üye Devletler için ekonomi ve istihdam politikalarına ilişkin yol gösterici tavsiyelerin yer aldığı taslak raporlar hazırlanmak- tadır. Taslak raporlarda, aşırı açık prosedürü uygulanması durumunda, mali politikalar alanında tavsiyeler yer almaktadır. Bunun yanında Avro Alanı için de tavsiyelerden oluşan bir rapor hazırlanmaktadır. Ülkeye özel tavsiyelere ilişkin taslak rapor, Mayıs ayında Komisyon tarafından açıklanmakta, ardından Temmuz ayında Konsey tarafından onaylanmaktadır.</w:t>
      </w:r>
    </w:p>
    <w:p w:rsidR="00497A84" w:rsidRPr="00DA3794" w:rsidRDefault="00497A84">
      <w:pPr>
        <w:rPr>
          <w:rFonts w:ascii="Times New Roman" w:hAnsi="Times New Roman" w:cs="Times New Roman"/>
          <w:sz w:val="28"/>
          <w:szCs w:val="28"/>
        </w:rPr>
      </w:pPr>
    </w:p>
    <w:p w:rsidR="00497A84" w:rsidRPr="00DA3794" w:rsidRDefault="00497A84">
      <w:pPr>
        <w:rPr>
          <w:rFonts w:ascii="Times New Roman" w:hAnsi="Times New Roman" w:cs="Times New Roman"/>
          <w:sz w:val="28"/>
          <w:szCs w:val="28"/>
        </w:rPr>
      </w:pPr>
    </w:p>
    <w:p w:rsidR="00497A84" w:rsidRPr="00DA3794" w:rsidRDefault="00497A84" w:rsidP="00497A84">
      <w:pPr>
        <w:pStyle w:val="Balk1"/>
        <w:spacing w:before="0" w:beforeAutospacing="0" w:after="0" w:afterAutospacing="0"/>
        <w:rPr>
          <w:color w:val="003F82"/>
          <w:sz w:val="28"/>
          <w:szCs w:val="28"/>
        </w:rPr>
      </w:pPr>
      <w:r w:rsidRPr="00DA3794">
        <w:rPr>
          <w:color w:val="003F82"/>
          <w:sz w:val="28"/>
          <w:szCs w:val="28"/>
        </w:rPr>
        <w:t>V</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Varlık Vergisi</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rStyle w:val="Vurgu"/>
          <w:color w:val="333333"/>
          <w:sz w:val="28"/>
          <w:szCs w:val="28"/>
        </w:rPr>
        <w:t>Wealth Tax</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Kişilerin, nakit, banka mevduatı, menkul kıymetler, sigorta fonları, emeklilik fonları, gayrimenkul yatırımları gibi sahip oldukları bütün varlıklar üzerinden alınan vergidir. Birçok Avrupa ülkesi 1990’lı yıllardan itibaren bu tür vergilerin uygulanmasını terk ederken, küresel mali kriz ve AB borç krizinden sonra ülkelerin mali kaynak temin ihtiyaçları nedeniyle tekrar uygulamaya koyulması gündeme gelmiştir.</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Viyana Girişimi</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rStyle w:val="Vurgu"/>
          <w:color w:val="333333"/>
          <w:sz w:val="28"/>
          <w:szCs w:val="28"/>
        </w:rPr>
        <w:t>Vienna Initiative</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Viyana Girişimi, ekonomik krizin etkilerini en fazla gösterdiği dönemlerden biri olan Ocak 2009’da, gelişmekte olan AB ülkelerinin mali istikrarının korunması için oluşturulmuştur. Bu çerçevede, gelişmekte olan AB ülkelerinde faaliyetlerini sürdüren sınır ötesi bankaların, kamu ve özel paydaşları bir araya getirilmiştir. Temel amacı, karar alma ve koordinasyon için bir platform oluşturarak bölgede bankacılık krizinin önüne geçmek ve reel ekonomiye kredi akışının sürekliliğinin sağlanması olan Viyana Girişimi, Polonya Ulusal Bankası’nın başkanlığını yürüten Marek Belka’nın başında olduğu bir izleme komitesi tarafından yönetilmektedir. Viyana Girişimi, oluşturulmasından bu yana Avrupa İmar ve Kalkınma Bankası, Avrupa Yatırım Bankası, IMF ve Dünya Bankası tarafından desteklenmektedir.</w:t>
      </w:r>
    </w:p>
    <w:p w:rsidR="00497A84" w:rsidRPr="00DA3794" w:rsidRDefault="00497A84">
      <w:pPr>
        <w:rPr>
          <w:rFonts w:ascii="Times New Roman" w:hAnsi="Times New Roman" w:cs="Times New Roman"/>
          <w:sz w:val="28"/>
          <w:szCs w:val="28"/>
        </w:rPr>
      </w:pPr>
    </w:p>
    <w:p w:rsidR="00497A84" w:rsidRPr="00DA3794" w:rsidRDefault="00497A84">
      <w:pPr>
        <w:rPr>
          <w:rFonts w:ascii="Times New Roman" w:hAnsi="Times New Roman" w:cs="Times New Roman"/>
          <w:sz w:val="28"/>
          <w:szCs w:val="28"/>
        </w:rPr>
      </w:pPr>
    </w:p>
    <w:p w:rsidR="00497A84" w:rsidRPr="00DA3794" w:rsidRDefault="00497A84" w:rsidP="00497A84">
      <w:pPr>
        <w:pStyle w:val="Balk1"/>
        <w:spacing w:before="0" w:beforeAutospacing="0" w:after="0" w:afterAutospacing="0"/>
        <w:rPr>
          <w:color w:val="003F82"/>
          <w:sz w:val="28"/>
          <w:szCs w:val="28"/>
        </w:rPr>
      </w:pPr>
      <w:r w:rsidRPr="00DA3794">
        <w:rPr>
          <w:color w:val="003F82"/>
          <w:sz w:val="28"/>
          <w:szCs w:val="28"/>
        </w:rPr>
        <w:t>W</w:t>
      </w:r>
    </w:p>
    <w:p w:rsidR="00497A84" w:rsidRPr="00DA3794" w:rsidRDefault="00497A84" w:rsidP="00497A84">
      <w:pPr>
        <w:pStyle w:val="Balk1"/>
        <w:pBdr>
          <w:top w:val="dotted" w:sz="6" w:space="4" w:color="CCCCCC"/>
        </w:pBdr>
        <w:spacing w:before="300" w:beforeAutospacing="0" w:after="0" w:afterAutospacing="0"/>
        <w:rPr>
          <w:color w:val="003F82"/>
          <w:sz w:val="28"/>
          <w:szCs w:val="28"/>
        </w:rPr>
      </w:pPr>
      <w:r w:rsidRPr="00DA3794">
        <w:rPr>
          <w:color w:val="003F82"/>
          <w:sz w:val="28"/>
          <w:szCs w:val="28"/>
        </w:rPr>
        <w:t>Wall Street’i İşgal Et</w:t>
      </w:r>
    </w:p>
    <w:p w:rsidR="00497A84" w:rsidRPr="00DA3794" w:rsidRDefault="00497A84" w:rsidP="00497A84">
      <w:pPr>
        <w:pStyle w:val="NormalWeb"/>
        <w:spacing w:before="150" w:beforeAutospacing="0" w:after="0" w:afterAutospacing="0" w:line="270" w:lineRule="atLeast"/>
        <w:ind w:left="300" w:right="300"/>
        <w:rPr>
          <w:color w:val="333333"/>
          <w:sz w:val="28"/>
          <w:szCs w:val="28"/>
        </w:rPr>
      </w:pPr>
      <w:r w:rsidRPr="00DA3794">
        <w:rPr>
          <w:rStyle w:val="Vurgu"/>
          <w:color w:val="333333"/>
          <w:sz w:val="28"/>
          <w:szCs w:val="28"/>
        </w:rPr>
        <w:t>Occupy Wall Street</w:t>
      </w:r>
    </w:p>
    <w:p w:rsidR="00497A84" w:rsidRPr="00DA3794" w:rsidRDefault="00497A84" w:rsidP="00497A84">
      <w:pPr>
        <w:pStyle w:val="NormalWeb"/>
        <w:spacing w:before="150" w:beforeAutospacing="0" w:after="0" w:afterAutospacing="0" w:line="270" w:lineRule="atLeast"/>
        <w:ind w:left="300" w:right="300"/>
        <w:jc w:val="both"/>
        <w:rPr>
          <w:color w:val="333333"/>
          <w:sz w:val="28"/>
          <w:szCs w:val="28"/>
        </w:rPr>
      </w:pPr>
      <w:r w:rsidRPr="00DA3794">
        <w:rPr>
          <w:color w:val="333333"/>
          <w:sz w:val="28"/>
          <w:szCs w:val="28"/>
        </w:rPr>
        <w:t>Wall Street’i İşgal Et, 17 Eylül 2011’de, New York’ta, ABD’nin finansal kalbi Wall Street’te Kanadalı aktivist grup Adbusters tarafından başlatılan halk eylemleri ve toplumsal hareketin adıdır. Eylemler barışçıldır ve eylemcilerin çoğunluğunu eğitimli gençler oluşturmaktadır. Amacı, sosyal eşitsizliği ve şirketlerin ABD yönetimi üzerindeki nüfuzunu protesto etmektir. Eylemler Arap Baharı’ndan etkilenerek başlamıştır. Protestocuların sloganı “Biz %99’uz”dur. Eylemler, tüm ABD’ye ve dünyaya kısa sürede yayılmıştır.</w:t>
      </w:r>
    </w:p>
    <w:p w:rsidR="00497A84" w:rsidRPr="00DA3794" w:rsidRDefault="00497A84">
      <w:pPr>
        <w:rPr>
          <w:rFonts w:ascii="Times New Roman" w:hAnsi="Times New Roman" w:cs="Times New Roman"/>
          <w:sz w:val="28"/>
          <w:szCs w:val="28"/>
        </w:rPr>
      </w:pPr>
    </w:p>
    <w:p w:rsidR="00497A84" w:rsidRPr="00DA3794" w:rsidRDefault="00497A84">
      <w:pPr>
        <w:rPr>
          <w:rFonts w:ascii="Times New Roman" w:hAnsi="Times New Roman" w:cs="Times New Roman"/>
          <w:sz w:val="28"/>
          <w:szCs w:val="28"/>
        </w:rPr>
      </w:pPr>
    </w:p>
    <w:p w:rsidR="00497A84" w:rsidRPr="00DA3794" w:rsidRDefault="00497A84" w:rsidP="00497A84">
      <w:pPr>
        <w:spacing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Y</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Yeşil Kitap</w:t>
      </w:r>
    </w:p>
    <w:p w:rsidR="00497A84" w:rsidRPr="00DA3794" w:rsidRDefault="00497A84" w:rsidP="00497A84">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Green Paper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Komisyonu tarafından yayımlanan Yeşil Kitaplar, belirli bir alanda (sosyal politika, tek para, telekomünikasyon gibi) bir düşünce ortaya koyarak, Avrupa düzeyinde bir istişare süreci başlatmak amacıyla oluşturulan belgelerdir. Bu çerçevede ortaya çıkan görüşler, daha sonra Beyaz Kitapların konu aldığı somut Birlik faaliyetlerine dönüşebilmektedir.</w:t>
      </w:r>
    </w:p>
    <w:p w:rsidR="00497A84" w:rsidRPr="00DA3794" w:rsidRDefault="00497A84" w:rsidP="00497A84">
      <w:pPr>
        <w:spacing w:before="150"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 </w:t>
      </w:r>
    </w:p>
    <w:p w:rsidR="00497A84" w:rsidRPr="00DA3794" w:rsidRDefault="00497A84" w:rsidP="00497A84">
      <w:pPr>
        <w:pBdr>
          <w:top w:val="dotted" w:sz="6" w:space="4" w:color="CCCCCC"/>
        </w:pBdr>
        <w:spacing w:before="300" w:after="0" w:line="240" w:lineRule="auto"/>
        <w:outlineLvl w:val="0"/>
        <w:rPr>
          <w:rFonts w:ascii="Times New Roman" w:eastAsia="Times New Roman" w:hAnsi="Times New Roman" w:cs="Times New Roman"/>
          <w:b/>
          <w:bCs/>
          <w:color w:val="003F82"/>
          <w:kern w:val="36"/>
          <w:sz w:val="28"/>
          <w:szCs w:val="28"/>
          <w:lang w:eastAsia="tr-TR"/>
        </w:rPr>
      </w:pPr>
      <w:r w:rsidRPr="00DA3794">
        <w:rPr>
          <w:rFonts w:ascii="Times New Roman" w:eastAsia="Times New Roman" w:hAnsi="Times New Roman" w:cs="Times New Roman"/>
          <w:b/>
          <w:bCs/>
          <w:color w:val="003F82"/>
          <w:kern w:val="36"/>
          <w:sz w:val="28"/>
          <w:szCs w:val="28"/>
          <w:lang w:eastAsia="tr-TR"/>
        </w:rPr>
        <w:t>Yıllık Büyüme Araştırması</w:t>
      </w:r>
    </w:p>
    <w:p w:rsidR="00497A84" w:rsidRPr="00DA3794" w:rsidRDefault="00497A84" w:rsidP="00497A84">
      <w:pPr>
        <w:spacing w:after="0" w:line="270" w:lineRule="atLeast"/>
        <w:ind w:left="300" w:right="300"/>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i/>
          <w:iCs/>
          <w:color w:val="333333"/>
          <w:sz w:val="28"/>
          <w:szCs w:val="28"/>
          <w:lang w:eastAsia="tr-TR"/>
        </w:rPr>
        <w:t>Annual Growth Survey (ASG)</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Avrupa Komisyonu tarafından ekonomik büyümeyi artırmak ve yeni istihdam yaratmak amacıyla hem Üye Devletler hem de AB ve Avro Alanı düzeyinde öncelikli faaliyetlerin belirlendiği yıllık araştırmalardır. Yıllık Büyüme Araştırması, yaklaşık altı aylık ekonomik ve mali politikaları izleme aracı olan Avrupa Sömestrisi’nin başlangıç noktasıdır. Genellikle yılsonu basılır ve bir sonraki yıla ilişkin öncelikleri ortaya koyar. Yıllık Büyüme Araştırması’nın, Üye Devletlerin İstikrar ve Uyum Programlarında ve Ulusal Reform Programlarında ortaya koydukları ulusal ekonomik ve bütçesel kararlara temel teşkil etmesi gerekmektedir.</w:t>
      </w:r>
    </w:p>
    <w:p w:rsidR="00497A84" w:rsidRPr="00DA3794" w:rsidRDefault="00497A84" w:rsidP="00497A84">
      <w:p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Son Yıllık Büyüme Araştırması’nda Komisyon tarafından belirlenen ve Üye Devletlerce üzerine yoğunlaşılması istenen öncelikler şu şekildedir:</w:t>
      </w:r>
    </w:p>
    <w:p w:rsidR="00497A84" w:rsidRPr="00DA3794" w:rsidRDefault="00497A84" w:rsidP="00497A84">
      <w:pPr>
        <w:numPr>
          <w:ilvl w:val="0"/>
          <w:numId w:val="26"/>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Büyümeyi destekleyen, farklılaştırılmış mali konsolidasyon izlemesi;</w:t>
      </w:r>
    </w:p>
    <w:p w:rsidR="00497A84" w:rsidRPr="00DA3794" w:rsidRDefault="00497A84" w:rsidP="00497A84">
      <w:pPr>
        <w:numPr>
          <w:ilvl w:val="0"/>
          <w:numId w:val="26"/>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Ekonomide normal borçlanmanın yeniden sağlanması;</w:t>
      </w:r>
    </w:p>
    <w:p w:rsidR="00497A84" w:rsidRPr="00DA3794" w:rsidRDefault="00497A84" w:rsidP="00497A84">
      <w:pPr>
        <w:numPr>
          <w:ilvl w:val="0"/>
          <w:numId w:val="26"/>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Bugün ve gelecek için büyümenin ve rekabetin desteklenmesi;</w:t>
      </w:r>
    </w:p>
    <w:p w:rsidR="00497A84" w:rsidRPr="00DA3794" w:rsidRDefault="00497A84" w:rsidP="00497A84">
      <w:pPr>
        <w:numPr>
          <w:ilvl w:val="0"/>
          <w:numId w:val="26"/>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İşsizlik ve krizin sosyal sonuçlarıyla mücadele edilmesi;</w:t>
      </w:r>
    </w:p>
    <w:p w:rsidR="00497A84" w:rsidRPr="00DA3794" w:rsidRDefault="00497A84" w:rsidP="00497A84">
      <w:pPr>
        <w:numPr>
          <w:ilvl w:val="0"/>
          <w:numId w:val="26"/>
        </w:numPr>
        <w:spacing w:before="150" w:after="0" w:line="270" w:lineRule="atLeast"/>
        <w:ind w:left="300" w:right="300"/>
        <w:jc w:val="both"/>
        <w:rPr>
          <w:rFonts w:ascii="Times New Roman" w:eastAsia="Times New Roman" w:hAnsi="Times New Roman" w:cs="Times New Roman"/>
          <w:color w:val="333333"/>
          <w:sz w:val="28"/>
          <w:szCs w:val="28"/>
          <w:lang w:eastAsia="tr-TR"/>
        </w:rPr>
      </w:pPr>
      <w:r w:rsidRPr="00DA3794">
        <w:rPr>
          <w:rFonts w:ascii="Times New Roman" w:eastAsia="Times New Roman" w:hAnsi="Times New Roman" w:cs="Times New Roman"/>
          <w:color w:val="333333"/>
          <w:sz w:val="28"/>
          <w:szCs w:val="28"/>
          <w:lang w:eastAsia="tr-TR"/>
        </w:rPr>
        <w:t>Kamu yönetimin modernleştirilmesi.</w:t>
      </w:r>
    </w:p>
    <w:p w:rsidR="00497A84" w:rsidRPr="00DA3794" w:rsidRDefault="00497A84">
      <w:pPr>
        <w:rPr>
          <w:rFonts w:ascii="Times New Roman" w:hAnsi="Times New Roman" w:cs="Times New Roman"/>
          <w:sz w:val="28"/>
          <w:szCs w:val="28"/>
        </w:rPr>
      </w:pPr>
    </w:p>
    <w:sectPr w:rsidR="00497A84" w:rsidRPr="00DA3794" w:rsidSect="005725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602E"/>
    <w:multiLevelType w:val="multilevel"/>
    <w:tmpl w:val="FA84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05006"/>
    <w:multiLevelType w:val="multilevel"/>
    <w:tmpl w:val="89C0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D6BD8"/>
    <w:multiLevelType w:val="multilevel"/>
    <w:tmpl w:val="3E5E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166A6B"/>
    <w:multiLevelType w:val="multilevel"/>
    <w:tmpl w:val="AD48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804099"/>
    <w:multiLevelType w:val="multilevel"/>
    <w:tmpl w:val="BF6C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092387"/>
    <w:multiLevelType w:val="multilevel"/>
    <w:tmpl w:val="645C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012EA3"/>
    <w:multiLevelType w:val="multilevel"/>
    <w:tmpl w:val="B7A6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2E4A5C"/>
    <w:multiLevelType w:val="multilevel"/>
    <w:tmpl w:val="C968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F924F6"/>
    <w:multiLevelType w:val="multilevel"/>
    <w:tmpl w:val="5F04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C872F0"/>
    <w:multiLevelType w:val="multilevel"/>
    <w:tmpl w:val="7814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010E38"/>
    <w:multiLevelType w:val="multilevel"/>
    <w:tmpl w:val="7168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3A20B9"/>
    <w:multiLevelType w:val="multilevel"/>
    <w:tmpl w:val="2722A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3746AD"/>
    <w:multiLevelType w:val="multilevel"/>
    <w:tmpl w:val="1646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212229"/>
    <w:multiLevelType w:val="multilevel"/>
    <w:tmpl w:val="90A8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420712"/>
    <w:multiLevelType w:val="multilevel"/>
    <w:tmpl w:val="E5CE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793A24"/>
    <w:multiLevelType w:val="multilevel"/>
    <w:tmpl w:val="8688A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570848"/>
    <w:multiLevelType w:val="multilevel"/>
    <w:tmpl w:val="A7CC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63642B"/>
    <w:multiLevelType w:val="multilevel"/>
    <w:tmpl w:val="2BAE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E672D1"/>
    <w:multiLevelType w:val="multilevel"/>
    <w:tmpl w:val="319A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30175F"/>
    <w:multiLevelType w:val="multilevel"/>
    <w:tmpl w:val="7FC8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5A4DBB"/>
    <w:multiLevelType w:val="multilevel"/>
    <w:tmpl w:val="74B6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D13448"/>
    <w:multiLevelType w:val="multilevel"/>
    <w:tmpl w:val="FC0C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2F3084"/>
    <w:multiLevelType w:val="multilevel"/>
    <w:tmpl w:val="E8A4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7A45F2"/>
    <w:multiLevelType w:val="multilevel"/>
    <w:tmpl w:val="2C74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016F9F"/>
    <w:multiLevelType w:val="multilevel"/>
    <w:tmpl w:val="094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9E6ACE"/>
    <w:multiLevelType w:val="multilevel"/>
    <w:tmpl w:val="3956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8F0FED"/>
    <w:multiLevelType w:val="multilevel"/>
    <w:tmpl w:val="4C9C5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5"/>
  </w:num>
  <w:num w:numId="3">
    <w:abstractNumId w:val="4"/>
  </w:num>
  <w:num w:numId="4">
    <w:abstractNumId w:val="3"/>
  </w:num>
  <w:num w:numId="5">
    <w:abstractNumId w:val="8"/>
  </w:num>
  <w:num w:numId="6">
    <w:abstractNumId w:val="26"/>
  </w:num>
  <w:num w:numId="7">
    <w:abstractNumId w:val="11"/>
  </w:num>
  <w:num w:numId="8">
    <w:abstractNumId w:val="15"/>
  </w:num>
  <w:num w:numId="9">
    <w:abstractNumId w:val="21"/>
  </w:num>
  <w:num w:numId="10">
    <w:abstractNumId w:val="25"/>
  </w:num>
  <w:num w:numId="11">
    <w:abstractNumId w:val="19"/>
  </w:num>
  <w:num w:numId="12">
    <w:abstractNumId w:val="22"/>
  </w:num>
  <w:num w:numId="13">
    <w:abstractNumId w:val="18"/>
  </w:num>
  <w:num w:numId="14">
    <w:abstractNumId w:val="13"/>
  </w:num>
  <w:num w:numId="15">
    <w:abstractNumId w:val="17"/>
  </w:num>
  <w:num w:numId="16">
    <w:abstractNumId w:val="6"/>
  </w:num>
  <w:num w:numId="17">
    <w:abstractNumId w:val="12"/>
  </w:num>
  <w:num w:numId="18">
    <w:abstractNumId w:val="10"/>
  </w:num>
  <w:num w:numId="19">
    <w:abstractNumId w:val="9"/>
  </w:num>
  <w:num w:numId="20">
    <w:abstractNumId w:val="20"/>
  </w:num>
  <w:num w:numId="21">
    <w:abstractNumId w:val="7"/>
  </w:num>
  <w:num w:numId="22">
    <w:abstractNumId w:val="2"/>
  </w:num>
  <w:num w:numId="23">
    <w:abstractNumId w:val="14"/>
  </w:num>
  <w:num w:numId="24">
    <w:abstractNumId w:val="0"/>
  </w:num>
  <w:num w:numId="25">
    <w:abstractNumId w:val="23"/>
  </w:num>
  <w:num w:numId="26">
    <w:abstractNumId w:val="24"/>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rsids>
    <w:rsidRoot w:val="008F0085"/>
    <w:rsid w:val="001139A8"/>
    <w:rsid w:val="00322083"/>
    <w:rsid w:val="00497A84"/>
    <w:rsid w:val="004D30B4"/>
    <w:rsid w:val="005355CE"/>
    <w:rsid w:val="005725EA"/>
    <w:rsid w:val="005C2974"/>
    <w:rsid w:val="008F0085"/>
    <w:rsid w:val="00DA37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5EA"/>
  </w:style>
  <w:style w:type="paragraph" w:styleId="Balk1">
    <w:name w:val="heading 1"/>
    <w:basedOn w:val="Normal"/>
    <w:link w:val="Balk1Char"/>
    <w:uiPriority w:val="9"/>
    <w:qFormat/>
    <w:rsid w:val="008F00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F0085"/>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8F00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F0085"/>
    <w:rPr>
      <w:i/>
      <w:iCs/>
    </w:rPr>
  </w:style>
  <w:style w:type="character" w:styleId="Gl">
    <w:name w:val="Strong"/>
    <w:basedOn w:val="VarsaylanParagrafYazTipi"/>
    <w:uiPriority w:val="22"/>
    <w:qFormat/>
    <w:rsid w:val="008F0085"/>
    <w:rPr>
      <w:b/>
      <w:bCs/>
    </w:rPr>
  </w:style>
  <w:style w:type="character" w:styleId="Kpr">
    <w:name w:val="Hyperlink"/>
    <w:basedOn w:val="VarsaylanParagrafYazTipi"/>
    <w:uiPriority w:val="99"/>
    <w:semiHidden/>
    <w:unhideWhenUsed/>
    <w:rsid w:val="00497A84"/>
    <w:rPr>
      <w:color w:val="0000FF"/>
      <w:u w:val="single"/>
    </w:rPr>
  </w:style>
  <w:style w:type="paragraph" w:styleId="BalonMetni">
    <w:name w:val="Balloon Text"/>
    <w:basedOn w:val="Normal"/>
    <w:link w:val="BalonMetniChar"/>
    <w:uiPriority w:val="99"/>
    <w:semiHidden/>
    <w:unhideWhenUsed/>
    <w:rsid w:val="005C29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29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521428">
      <w:bodyDiv w:val="1"/>
      <w:marLeft w:val="0"/>
      <w:marRight w:val="0"/>
      <w:marTop w:val="0"/>
      <w:marBottom w:val="0"/>
      <w:divBdr>
        <w:top w:val="none" w:sz="0" w:space="0" w:color="auto"/>
        <w:left w:val="none" w:sz="0" w:space="0" w:color="auto"/>
        <w:bottom w:val="none" w:sz="0" w:space="0" w:color="auto"/>
        <w:right w:val="none" w:sz="0" w:space="0" w:color="auto"/>
      </w:divBdr>
      <w:divsChild>
        <w:div w:id="2008285836">
          <w:marLeft w:val="0"/>
          <w:marRight w:val="0"/>
          <w:marTop w:val="75"/>
          <w:marBottom w:val="0"/>
          <w:divBdr>
            <w:top w:val="none" w:sz="0" w:space="0" w:color="auto"/>
            <w:left w:val="none" w:sz="0" w:space="0" w:color="auto"/>
            <w:bottom w:val="none" w:sz="0" w:space="0" w:color="auto"/>
            <w:right w:val="none" w:sz="0" w:space="0" w:color="auto"/>
          </w:divBdr>
        </w:div>
        <w:div w:id="1311863750">
          <w:marLeft w:val="0"/>
          <w:marRight w:val="0"/>
          <w:marTop w:val="150"/>
          <w:marBottom w:val="0"/>
          <w:divBdr>
            <w:top w:val="none" w:sz="0" w:space="0" w:color="auto"/>
            <w:left w:val="none" w:sz="0" w:space="0" w:color="auto"/>
            <w:bottom w:val="none" w:sz="0" w:space="0" w:color="auto"/>
            <w:right w:val="none" w:sz="0" w:space="0" w:color="auto"/>
          </w:divBdr>
        </w:div>
        <w:div w:id="633365969">
          <w:marLeft w:val="0"/>
          <w:marRight w:val="0"/>
          <w:marTop w:val="150"/>
          <w:marBottom w:val="0"/>
          <w:divBdr>
            <w:top w:val="none" w:sz="0" w:space="0" w:color="auto"/>
            <w:left w:val="none" w:sz="0" w:space="0" w:color="auto"/>
            <w:bottom w:val="none" w:sz="0" w:space="0" w:color="auto"/>
            <w:right w:val="none" w:sz="0" w:space="0" w:color="auto"/>
          </w:divBdr>
        </w:div>
        <w:div w:id="442309269">
          <w:marLeft w:val="0"/>
          <w:marRight w:val="0"/>
          <w:marTop w:val="150"/>
          <w:marBottom w:val="0"/>
          <w:divBdr>
            <w:top w:val="none" w:sz="0" w:space="0" w:color="auto"/>
            <w:left w:val="none" w:sz="0" w:space="0" w:color="auto"/>
            <w:bottom w:val="none" w:sz="0" w:space="0" w:color="auto"/>
            <w:right w:val="none" w:sz="0" w:space="0" w:color="auto"/>
          </w:divBdr>
        </w:div>
        <w:div w:id="1927374624">
          <w:marLeft w:val="0"/>
          <w:marRight w:val="0"/>
          <w:marTop w:val="150"/>
          <w:marBottom w:val="0"/>
          <w:divBdr>
            <w:top w:val="none" w:sz="0" w:space="0" w:color="auto"/>
            <w:left w:val="none" w:sz="0" w:space="0" w:color="auto"/>
            <w:bottom w:val="none" w:sz="0" w:space="0" w:color="auto"/>
            <w:right w:val="none" w:sz="0" w:space="0" w:color="auto"/>
          </w:divBdr>
        </w:div>
        <w:div w:id="1394769725">
          <w:marLeft w:val="0"/>
          <w:marRight w:val="0"/>
          <w:marTop w:val="150"/>
          <w:marBottom w:val="0"/>
          <w:divBdr>
            <w:top w:val="none" w:sz="0" w:space="0" w:color="auto"/>
            <w:left w:val="none" w:sz="0" w:space="0" w:color="auto"/>
            <w:bottom w:val="none" w:sz="0" w:space="0" w:color="auto"/>
            <w:right w:val="none" w:sz="0" w:space="0" w:color="auto"/>
          </w:divBdr>
        </w:div>
        <w:div w:id="1911040887">
          <w:marLeft w:val="0"/>
          <w:marRight w:val="0"/>
          <w:marTop w:val="150"/>
          <w:marBottom w:val="0"/>
          <w:divBdr>
            <w:top w:val="none" w:sz="0" w:space="0" w:color="auto"/>
            <w:left w:val="none" w:sz="0" w:space="0" w:color="auto"/>
            <w:bottom w:val="none" w:sz="0" w:space="0" w:color="auto"/>
            <w:right w:val="none" w:sz="0" w:space="0" w:color="auto"/>
          </w:divBdr>
        </w:div>
      </w:divsChild>
    </w:div>
    <w:div w:id="121653851">
      <w:bodyDiv w:val="1"/>
      <w:marLeft w:val="0"/>
      <w:marRight w:val="0"/>
      <w:marTop w:val="0"/>
      <w:marBottom w:val="0"/>
      <w:divBdr>
        <w:top w:val="none" w:sz="0" w:space="0" w:color="auto"/>
        <w:left w:val="none" w:sz="0" w:space="0" w:color="auto"/>
        <w:bottom w:val="none" w:sz="0" w:space="0" w:color="auto"/>
        <w:right w:val="none" w:sz="0" w:space="0" w:color="auto"/>
      </w:divBdr>
      <w:divsChild>
        <w:div w:id="2137554158">
          <w:marLeft w:val="0"/>
          <w:marRight w:val="0"/>
          <w:marTop w:val="75"/>
          <w:marBottom w:val="0"/>
          <w:divBdr>
            <w:top w:val="none" w:sz="0" w:space="0" w:color="auto"/>
            <w:left w:val="none" w:sz="0" w:space="0" w:color="auto"/>
            <w:bottom w:val="none" w:sz="0" w:space="0" w:color="auto"/>
            <w:right w:val="none" w:sz="0" w:space="0" w:color="auto"/>
          </w:divBdr>
        </w:div>
        <w:div w:id="1813668277">
          <w:marLeft w:val="0"/>
          <w:marRight w:val="0"/>
          <w:marTop w:val="150"/>
          <w:marBottom w:val="0"/>
          <w:divBdr>
            <w:top w:val="none" w:sz="0" w:space="0" w:color="auto"/>
            <w:left w:val="none" w:sz="0" w:space="0" w:color="auto"/>
            <w:bottom w:val="none" w:sz="0" w:space="0" w:color="auto"/>
            <w:right w:val="none" w:sz="0" w:space="0" w:color="auto"/>
          </w:divBdr>
        </w:div>
        <w:div w:id="966426530">
          <w:marLeft w:val="0"/>
          <w:marRight w:val="0"/>
          <w:marTop w:val="150"/>
          <w:marBottom w:val="0"/>
          <w:divBdr>
            <w:top w:val="none" w:sz="0" w:space="0" w:color="auto"/>
            <w:left w:val="none" w:sz="0" w:space="0" w:color="auto"/>
            <w:bottom w:val="none" w:sz="0" w:space="0" w:color="auto"/>
            <w:right w:val="none" w:sz="0" w:space="0" w:color="auto"/>
          </w:divBdr>
        </w:div>
      </w:divsChild>
    </w:div>
    <w:div w:id="252130828">
      <w:bodyDiv w:val="1"/>
      <w:marLeft w:val="0"/>
      <w:marRight w:val="0"/>
      <w:marTop w:val="0"/>
      <w:marBottom w:val="0"/>
      <w:divBdr>
        <w:top w:val="none" w:sz="0" w:space="0" w:color="auto"/>
        <w:left w:val="none" w:sz="0" w:space="0" w:color="auto"/>
        <w:bottom w:val="none" w:sz="0" w:space="0" w:color="auto"/>
        <w:right w:val="none" w:sz="0" w:space="0" w:color="auto"/>
      </w:divBdr>
      <w:divsChild>
        <w:div w:id="1708140504">
          <w:marLeft w:val="0"/>
          <w:marRight w:val="0"/>
          <w:marTop w:val="150"/>
          <w:marBottom w:val="0"/>
          <w:divBdr>
            <w:top w:val="none" w:sz="0" w:space="0" w:color="auto"/>
            <w:left w:val="none" w:sz="0" w:space="0" w:color="auto"/>
            <w:bottom w:val="none" w:sz="0" w:space="0" w:color="auto"/>
            <w:right w:val="none" w:sz="0" w:space="0" w:color="auto"/>
          </w:divBdr>
        </w:div>
      </w:divsChild>
    </w:div>
    <w:div w:id="350188112">
      <w:bodyDiv w:val="1"/>
      <w:marLeft w:val="0"/>
      <w:marRight w:val="0"/>
      <w:marTop w:val="0"/>
      <w:marBottom w:val="0"/>
      <w:divBdr>
        <w:top w:val="none" w:sz="0" w:space="0" w:color="auto"/>
        <w:left w:val="none" w:sz="0" w:space="0" w:color="auto"/>
        <w:bottom w:val="none" w:sz="0" w:space="0" w:color="auto"/>
        <w:right w:val="none" w:sz="0" w:space="0" w:color="auto"/>
      </w:divBdr>
      <w:divsChild>
        <w:div w:id="159544973">
          <w:marLeft w:val="0"/>
          <w:marRight w:val="0"/>
          <w:marTop w:val="75"/>
          <w:marBottom w:val="0"/>
          <w:divBdr>
            <w:top w:val="none" w:sz="0" w:space="0" w:color="auto"/>
            <w:left w:val="none" w:sz="0" w:space="0" w:color="auto"/>
            <w:bottom w:val="none" w:sz="0" w:space="0" w:color="auto"/>
            <w:right w:val="none" w:sz="0" w:space="0" w:color="auto"/>
          </w:divBdr>
        </w:div>
        <w:div w:id="862746111">
          <w:marLeft w:val="0"/>
          <w:marRight w:val="0"/>
          <w:marTop w:val="150"/>
          <w:marBottom w:val="0"/>
          <w:divBdr>
            <w:top w:val="none" w:sz="0" w:space="0" w:color="auto"/>
            <w:left w:val="none" w:sz="0" w:space="0" w:color="auto"/>
            <w:bottom w:val="none" w:sz="0" w:space="0" w:color="auto"/>
            <w:right w:val="none" w:sz="0" w:space="0" w:color="auto"/>
          </w:divBdr>
        </w:div>
        <w:div w:id="2085949915">
          <w:marLeft w:val="0"/>
          <w:marRight w:val="0"/>
          <w:marTop w:val="150"/>
          <w:marBottom w:val="0"/>
          <w:divBdr>
            <w:top w:val="none" w:sz="0" w:space="0" w:color="auto"/>
            <w:left w:val="none" w:sz="0" w:space="0" w:color="auto"/>
            <w:bottom w:val="none" w:sz="0" w:space="0" w:color="auto"/>
            <w:right w:val="none" w:sz="0" w:space="0" w:color="auto"/>
          </w:divBdr>
        </w:div>
      </w:divsChild>
    </w:div>
    <w:div w:id="536311743">
      <w:bodyDiv w:val="1"/>
      <w:marLeft w:val="0"/>
      <w:marRight w:val="0"/>
      <w:marTop w:val="0"/>
      <w:marBottom w:val="0"/>
      <w:divBdr>
        <w:top w:val="none" w:sz="0" w:space="0" w:color="auto"/>
        <w:left w:val="none" w:sz="0" w:space="0" w:color="auto"/>
        <w:bottom w:val="none" w:sz="0" w:space="0" w:color="auto"/>
        <w:right w:val="none" w:sz="0" w:space="0" w:color="auto"/>
      </w:divBdr>
      <w:divsChild>
        <w:div w:id="327296719">
          <w:marLeft w:val="0"/>
          <w:marRight w:val="0"/>
          <w:marTop w:val="150"/>
          <w:marBottom w:val="0"/>
          <w:divBdr>
            <w:top w:val="none" w:sz="0" w:space="0" w:color="auto"/>
            <w:left w:val="none" w:sz="0" w:space="0" w:color="auto"/>
            <w:bottom w:val="none" w:sz="0" w:space="0" w:color="auto"/>
            <w:right w:val="none" w:sz="0" w:space="0" w:color="auto"/>
          </w:divBdr>
        </w:div>
        <w:div w:id="710570305">
          <w:marLeft w:val="0"/>
          <w:marRight w:val="0"/>
          <w:marTop w:val="150"/>
          <w:marBottom w:val="0"/>
          <w:divBdr>
            <w:top w:val="none" w:sz="0" w:space="0" w:color="auto"/>
            <w:left w:val="none" w:sz="0" w:space="0" w:color="auto"/>
            <w:bottom w:val="none" w:sz="0" w:space="0" w:color="auto"/>
            <w:right w:val="none" w:sz="0" w:space="0" w:color="auto"/>
          </w:divBdr>
          <w:divsChild>
            <w:div w:id="2015722809">
              <w:marLeft w:val="0"/>
              <w:marRight w:val="0"/>
              <w:marTop w:val="0"/>
              <w:marBottom w:val="0"/>
              <w:divBdr>
                <w:top w:val="none" w:sz="0" w:space="0" w:color="auto"/>
                <w:left w:val="none" w:sz="0" w:space="0" w:color="auto"/>
                <w:bottom w:val="none" w:sz="0" w:space="0" w:color="auto"/>
                <w:right w:val="none" w:sz="0" w:space="0" w:color="auto"/>
              </w:divBdr>
            </w:div>
          </w:divsChild>
        </w:div>
        <w:div w:id="260797515">
          <w:marLeft w:val="0"/>
          <w:marRight w:val="0"/>
          <w:marTop w:val="150"/>
          <w:marBottom w:val="0"/>
          <w:divBdr>
            <w:top w:val="none" w:sz="0" w:space="0" w:color="auto"/>
            <w:left w:val="none" w:sz="0" w:space="0" w:color="auto"/>
            <w:bottom w:val="none" w:sz="0" w:space="0" w:color="auto"/>
            <w:right w:val="none" w:sz="0" w:space="0" w:color="auto"/>
          </w:divBdr>
        </w:div>
        <w:div w:id="257567174">
          <w:marLeft w:val="0"/>
          <w:marRight w:val="0"/>
          <w:marTop w:val="150"/>
          <w:marBottom w:val="0"/>
          <w:divBdr>
            <w:top w:val="none" w:sz="0" w:space="0" w:color="auto"/>
            <w:left w:val="none" w:sz="0" w:space="0" w:color="auto"/>
            <w:bottom w:val="none" w:sz="0" w:space="0" w:color="auto"/>
            <w:right w:val="none" w:sz="0" w:space="0" w:color="auto"/>
          </w:divBdr>
        </w:div>
      </w:divsChild>
    </w:div>
    <w:div w:id="626549698">
      <w:bodyDiv w:val="1"/>
      <w:marLeft w:val="0"/>
      <w:marRight w:val="0"/>
      <w:marTop w:val="0"/>
      <w:marBottom w:val="0"/>
      <w:divBdr>
        <w:top w:val="none" w:sz="0" w:space="0" w:color="auto"/>
        <w:left w:val="none" w:sz="0" w:space="0" w:color="auto"/>
        <w:bottom w:val="none" w:sz="0" w:space="0" w:color="auto"/>
        <w:right w:val="none" w:sz="0" w:space="0" w:color="auto"/>
      </w:divBdr>
      <w:divsChild>
        <w:div w:id="1816483607">
          <w:marLeft w:val="0"/>
          <w:marRight w:val="0"/>
          <w:marTop w:val="150"/>
          <w:marBottom w:val="0"/>
          <w:divBdr>
            <w:top w:val="none" w:sz="0" w:space="0" w:color="auto"/>
            <w:left w:val="none" w:sz="0" w:space="0" w:color="auto"/>
            <w:bottom w:val="none" w:sz="0" w:space="0" w:color="auto"/>
            <w:right w:val="none" w:sz="0" w:space="0" w:color="auto"/>
          </w:divBdr>
        </w:div>
      </w:divsChild>
    </w:div>
    <w:div w:id="653491246">
      <w:bodyDiv w:val="1"/>
      <w:marLeft w:val="0"/>
      <w:marRight w:val="0"/>
      <w:marTop w:val="0"/>
      <w:marBottom w:val="0"/>
      <w:divBdr>
        <w:top w:val="none" w:sz="0" w:space="0" w:color="auto"/>
        <w:left w:val="none" w:sz="0" w:space="0" w:color="auto"/>
        <w:bottom w:val="none" w:sz="0" w:space="0" w:color="auto"/>
        <w:right w:val="none" w:sz="0" w:space="0" w:color="auto"/>
      </w:divBdr>
      <w:divsChild>
        <w:div w:id="272399647">
          <w:marLeft w:val="0"/>
          <w:marRight w:val="0"/>
          <w:marTop w:val="150"/>
          <w:marBottom w:val="0"/>
          <w:divBdr>
            <w:top w:val="none" w:sz="0" w:space="0" w:color="auto"/>
            <w:left w:val="none" w:sz="0" w:space="0" w:color="auto"/>
            <w:bottom w:val="none" w:sz="0" w:space="0" w:color="auto"/>
            <w:right w:val="none" w:sz="0" w:space="0" w:color="auto"/>
          </w:divBdr>
        </w:div>
        <w:div w:id="1078861828">
          <w:marLeft w:val="0"/>
          <w:marRight w:val="0"/>
          <w:marTop w:val="150"/>
          <w:marBottom w:val="0"/>
          <w:divBdr>
            <w:top w:val="none" w:sz="0" w:space="0" w:color="auto"/>
            <w:left w:val="none" w:sz="0" w:space="0" w:color="auto"/>
            <w:bottom w:val="none" w:sz="0" w:space="0" w:color="auto"/>
            <w:right w:val="none" w:sz="0" w:space="0" w:color="auto"/>
          </w:divBdr>
        </w:div>
        <w:div w:id="1080907864">
          <w:marLeft w:val="0"/>
          <w:marRight w:val="0"/>
          <w:marTop w:val="150"/>
          <w:marBottom w:val="0"/>
          <w:divBdr>
            <w:top w:val="none" w:sz="0" w:space="0" w:color="auto"/>
            <w:left w:val="none" w:sz="0" w:space="0" w:color="auto"/>
            <w:bottom w:val="none" w:sz="0" w:space="0" w:color="auto"/>
            <w:right w:val="none" w:sz="0" w:space="0" w:color="auto"/>
          </w:divBdr>
        </w:div>
        <w:div w:id="1489786814">
          <w:marLeft w:val="0"/>
          <w:marRight w:val="0"/>
          <w:marTop w:val="150"/>
          <w:marBottom w:val="0"/>
          <w:divBdr>
            <w:top w:val="none" w:sz="0" w:space="0" w:color="auto"/>
            <w:left w:val="none" w:sz="0" w:space="0" w:color="auto"/>
            <w:bottom w:val="none" w:sz="0" w:space="0" w:color="auto"/>
            <w:right w:val="none" w:sz="0" w:space="0" w:color="auto"/>
          </w:divBdr>
        </w:div>
      </w:divsChild>
    </w:div>
    <w:div w:id="728651770">
      <w:bodyDiv w:val="1"/>
      <w:marLeft w:val="0"/>
      <w:marRight w:val="0"/>
      <w:marTop w:val="0"/>
      <w:marBottom w:val="0"/>
      <w:divBdr>
        <w:top w:val="none" w:sz="0" w:space="0" w:color="auto"/>
        <w:left w:val="none" w:sz="0" w:space="0" w:color="auto"/>
        <w:bottom w:val="none" w:sz="0" w:space="0" w:color="auto"/>
        <w:right w:val="none" w:sz="0" w:space="0" w:color="auto"/>
      </w:divBdr>
      <w:divsChild>
        <w:div w:id="1816020254">
          <w:marLeft w:val="0"/>
          <w:marRight w:val="0"/>
          <w:marTop w:val="150"/>
          <w:marBottom w:val="0"/>
          <w:divBdr>
            <w:top w:val="none" w:sz="0" w:space="0" w:color="auto"/>
            <w:left w:val="none" w:sz="0" w:space="0" w:color="auto"/>
            <w:bottom w:val="none" w:sz="0" w:space="0" w:color="auto"/>
            <w:right w:val="none" w:sz="0" w:space="0" w:color="auto"/>
          </w:divBdr>
        </w:div>
      </w:divsChild>
    </w:div>
    <w:div w:id="778718896">
      <w:bodyDiv w:val="1"/>
      <w:marLeft w:val="0"/>
      <w:marRight w:val="0"/>
      <w:marTop w:val="0"/>
      <w:marBottom w:val="0"/>
      <w:divBdr>
        <w:top w:val="none" w:sz="0" w:space="0" w:color="auto"/>
        <w:left w:val="none" w:sz="0" w:space="0" w:color="auto"/>
        <w:bottom w:val="none" w:sz="0" w:space="0" w:color="auto"/>
        <w:right w:val="none" w:sz="0" w:space="0" w:color="auto"/>
      </w:divBdr>
      <w:divsChild>
        <w:div w:id="1789932428">
          <w:marLeft w:val="0"/>
          <w:marRight w:val="0"/>
          <w:marTop w:val="150"/>
          <w:marBottom w:val="0"/>
          <w:divBdr>
            <w:top w:val="none" w:sz="0" w:space="0" w:color="auto"/>
            <w:left w:val="none" w:sz="0" w:space="0" w:color="auto"/>
            <w:bottom w:val="none" w:sz="0" w:space="0" w:color="auto"/>
            <w:right w:val="none" w:sz="0" w:space="0" w:color="auto"/>
          </w:divBdr>
        </w:div>
        <w:div w:id="1979648143">
          <w:marLeft w:val="0"/>
          <w:marRight w:val="0"/>
          <w:marTop w:val="150"/>
          <w:marBottom w:val="0"/>
          <w:divBdr>
            <w:top w:val="none" w:sz="0" w:space="0" w:color="auto"/>
            <w:left w:val="none" w:sz="0" w:space="0" w:color="auto"/>
            <w:bottom w:val="none" w:sz="0" w:space="0" w:color="auto"/>
            <w:right w:val="none" w:sz="0" w:space="0" w:color="auto"/>
          </w:divBdr>
        </w:div>
        <w:div w:id="1853446743">
          <w:marLeft w:val="0"/>
          <w:marRight w:val="0"/>
          <w:marTop w:val="150"/>
          <w:marBottom w:val="0"/>
          <w:divBdr>
            <w:top w:val="none" w:sz="0" w:space="0" w:color="auto"/>
            <w:left w:val="none" w:sz="0" w:space="0" w:color="auto"/>
            <w:bottom w:val="none" w:sz="0" w:space="0" w:color="auto"/>
            <w:right w:val="none" w:sz="0" w:space="0" w:color="auto"/>
          </w:divBdr>
        </w:div>
        <w:div w:id="1815636543">
          <w:marLeft w:val="0"/>
          <w:marRight w:val="0"/>
          <w:marTop w:val="150"/>
          <w:marBottom w:val="0"/>
          <w:divBdr>
            <w:top w:val="none" w:sz="0" w:space="0" w:color="auto"/>
            <w:left w:val="none" w:sz="0" w:space="0" w:color="auto"/>
            <w:bottom w:val="none" w:sz="0" w:space="0" w:color="auto"/>
            <w:right w:val="none" w:sz="0" w:space="0" w:color="auto"/>
          </w:divBdr>
        </w:div>
        <w:div w:id="562561992">
          <w:marLeft w:val="0"/>
          <w:marRight w:val="0"/>
          <w:marTop w:val="150"/>
          <w:marBottom w:val="0"/>
          <w:divBdr>
            <w:top w:val="none" w:sz="0" w:space="0" w:color="auto"/>
            <w:left w:val="none" w:sz="0" w:space="0" w:color="auto"/>
            <w:bottom w:val="none" w:sz="0" w:space="0" w:color="auto"/>
            <w:right w:val="none" w:sz="0" w:space="0" w:color="auto"/>
          </w:divBdr>
        </w:div>
        <w:div w:id="430669352">
          <w:marLeft w:val="0"/>
          <w:marRight w:val="0"/>
          <w:marTop w:val="150"/>
          <w:marBottom w:val="0"/>
          <w:divBdr>
            <w:top w:val="none" w:sz="0" w:space="0" w:color="auto"/>
            <w:left w:val="none" w:sz="0" w:space="0" w:color="auto"/>
            <w:bottom w:val="none" w:sz="0" w:space="0" w:color="auto"/>
            <w:right w:val="none" w:sz="0" w:space="0" w:color="auto"/>
          </w:divBdr>
        </w:div>
        <w:div w:id="1658610579">
          <w:marLeft w:val="0"/>
          <w:marRight w:val="0"/>
          <w:marTop w:val="150"/>
          <w:marBottom w:val="0"/>
          <w:divBdr>
            <w:top w:val="none" w:sz="0" w:space="0" w:color="auto"/>
            <w:left w:val="none" w:sz="0" w:space="0" w:color="auto"/>
            <w:bottom w:val="none" w:sz="0" w:space="0" w:color="auto"/>
            <w:right w:val="none" w:sz="0" w:space="0" w:color="auto"/>
          </w:divBdr>
        </w:div>
      </w:divsChild>
    </w:div>
    <w:div w:id="783429441">
      <w:bodyDiv w:val="1"/>
      <w:marLeft w:val="0"/>
      <w:marRight w:val="0"/>
      <w:marTop w:val="0"/>
      <w:marBottom w:val="0"/>
      <w:divBdr>
        <w:top w:val="none" w:sz="0" w:space="0" w:color="auto"/>
        <w:left w:val="none" w:sz="0" w:space="0" w:color="auto"/>
        <w:bottom w:val="none" w:sz="0" w:space="0" w:color="auto"/>
        <w:right w:val="none" w:sz="0" w:space="0" w:color="auto"/>
      </w:divBdr>
      <w:divsChild>
        <w:div w:id="501434571">
          <w:marLeft w:val="0"/>
          <w:marRight w:val="0"/>
          <w:marTop w:val="150"/>
          <w:marBottom w:val="0"/>
          <w:divBdr>
            <w:top w:val="none" w:sz="0" w:space="0" w:color="auto"/>
            <w:left w:val="none" w:sz="0" w:space="0" w:color="auto"/>
            <w:bottom w:val="none" w:sz="0" w:space="0" w:color="auto"/>
            <w:right w:val="none" w:sz="0" w:space="0" w:color="auto"/>
          </w:divBdr>
        </w:div>
        <w:div w:id="185604343">
          <w:marLeft w:val="0"/>
          <w:marRight w:val="0"/>
          <w:marTop w:val="150"/>
          <w:marBottom w:val="0"/>
          <w:divBdr>
            <w:top w:val="none" w:sz="0" w:space="0" w:color="auto"/>
            <w:left w:val="none" w:sz="0" w:space="0" w:color="auto"/>
            <w:bottom w:val="none" w:sz="0" w:space="0" w:color="auto"/>
            <w:right w:val="none" w:sz="0" w:space="0" w:color="auto"/>
          </w:divBdr>
        </w:div>
        <w:div w:id="1574927374">
          <w:marLeft w:val="0"/>
          <w:marRight w:val="0"/>
          <w:marTop w:val="150"/>
          <w:marBottom w:val="0"/>
          <w:divBdr>
            <w:top w:val="none" w:sz="0" w:space="0" w:color="auto"/>
            <w:left w:val="none" w:sz="0" w:space="0" w:color="auto"/>
            <w:bottom w:val="none" w:sz="0" w:space="0" w:color="auto"/>
            <w:right w:val="none" w:sz="0" w:space="0" w:color="auto"/>
          </w:divBdr>
        </w:div>
        <w:div w:id="1177115669">
          <w:marLeft w:val="0"/>
          <w:marRight w:val="0"/>
          <w:marTop w:val="150"/>
          <w:marBottom w:val="0"/>
          <w:divBdr>
            <w:top w:val="none" w:sz="0" w:space="0" w:color="auto"/>
            <w:left w:val="none" w:sz="0" w:space="0" w:color="auto"/>
            <w:bottom w:val="none" w:sz="0" w:space="0" w:color="auto"/>
            <w:right w:val="none" w:sz="0" w:space="0" w:color="auto"/>
          </w:divBdr>
        </w:div>
      </w:divsChild>
    </w:div>
    <w:div w:id="875461667">
      <w:bodyDiv w:val="1"/>
      <w:marLeft w:val="0"/>
      <w:marRight w:val="0"/>
      <w:marTop w:val="0"/>
      <w:marBottom w:val="0"/>
      <w:divBdr>
        <w:top w:val="none" w:sz="0" w:space="0" w:color="auto"/>
        <w:left w:val="none" w:sz="0" w:space="0" w:color="auto"/>
        <w:bottom w:val="none" w:sz="0" w:space="0" w:color="auto"/>
        <w:right w:val="none" w:sz="0" w:space="0" w:color="auto"/>
      </w:divBdr>
      <w:divsChild>
        <w:div w:id="1824813856">
          <w:marLeft w:val="0"/>
          <w:marRight w:val="0"/>
          <w:marTop w:val="150"/>
          <w:marBottom w:val="0"/>
          <w:divBdr>
            <w:top w:val="none" w:sz="0" w:space="0" w:color="auto"/>
            <w:left w:val="none" w:sz="0" w:space="0" w:color="auto"/>
            <w:bottom w:val="none" w:sz="0" w:space="0" w:color="auto"/>
            <w:right w:val="none" w:sz="0" w:space="0" w:color="auto"/>
          </w:divBdr>
        </w:div>
      </w:divsChild>
    </w:div>
    <w:div w:id="1065684932">
      <w:bodyDiv w:val="1"/>
      <w:marLeft w:val="0"/>
      <w:marRight w:val="0"/>
      <w:marTop w:val="0"/>
      <w:marBottom w:val="0"/>
      <w:divBdr>
        <w:top w:val="none" w:sz="0" w:space="0" w:color="auto"/>
        <w:left w:val="none" w:sz="0" w:space="0" w:color="auto"/>
        <w:bottom w:val="none" w:sz="0" w:space="0" w:color="auto"/>
        <w:right w:val="none" w:sz="0" w:space="0" w:color="auto"/>
      </w:divBdr>
      <w:divsChild>
        <w:div w:id="119424668">
          <w:marLeft w:val="0"/>
          <w:marRight w:val="0"/>
          <w:marTop w:val="150"/>
          <w:marBottom w:val="0"/>
          <w:divBdr>
            <w:top w:val="none" w:sz="0" w:space="0" w:color="auto"/>
            <w:left w:val="none" w:sz="0" w:space="0" w:color="auto"/>
            <w:bottom w:val="none" w:sz="0" w:space="0" w:color="auto"/>
            <w:right w:val="none" w:sz="0" w:space="0" w:color="auto"/>
          </w:divBdr>
        </w:div>
        <w:div w:id="2106610824">
          <w:marLeft w:val="0"/>
          <w:marRight w:val="0"/>
          <w:marTop w:val="150"/>
          <w:marBottom w:val="0"/>
          <w:divBdr>
            <w:top w:val="none" w:sz="0" w:space="0" w:color="auto"/>
            <w:left w:val="none" w:sz="0" w:space="0" w:color="auto"/>
            <w:bottom w:val="none" w:sz="0" w:space="0" w:color="auto"/>
            <w:right w:val="none" w:sz="0" w:space="0" w:color="auto"/>
          </w:divBdr>
        </w:div>
        <w:div w:id="877400854">
          <w:marLeft w:val="0"/>
          <w:marRight w:val="0"/>
          <w:marTop w:val="150"/>
          <w:marBottom w:val="0"/>
          <w:divBdr>
            <w:top w:val="none" w:sz="0" w:space="0" w:color="auto"/>
            <w:left w:val="none" w:sz="0" w:space="0" w:color="auto"/>
            <w:bottom w:val="none" w:sz="0" w:space="0" w:color="auto"/>
            <w:right w:val="none" w:sz="0" w:space="0" w:color="auto"/>
          </w:divBdr>
          <w:divsChild>
            <w:div w:id="377899318">
              <w:marLeft w:val="0"/>
              <w:marRight w:val="0"/>
              <w:marTop w:val="0"/>
              <w:marBottom w:val="0"/>
              <w:divBdr>
                <w:top w:val="none" w:sz="0" w:space="0" w:color="auto"/>
                <w:left w:val="none" w:sz="0" w:space="0" w:color="auto"/>
                <w:bottom w:val="none" w:sz="0" w:space="0" w:color="auto"/>
                <w:right w:val="none" w:sz="0" w:space="0" w:color="auto"/>
              </w:divBdr>
            </w:div>
          </w:divsChild>
        </w:div>
        <w:div w:id="356588748">
          <w:marLeft w:val="0"/>
          <w:marRight w:val="0"/>
          <w:marTop w:val="150"/>
          <w:marBottom w:val="0"/>
          <w:divBdr>
            <w:top w:val="none" w:sz="0" w:space="0" w:color="auto"/>
            <w:left w:val="none" w:sz="0" w:space="0" w:color="auto"/>
            <w:bottom w:val="none" w:sz="0" w:space="0" w:color="auto"/>
            <w:right w:val="none" w:sz="0" w:space="0" w:color="auto"/>
          </w:divBdr>
        </w:div>
        <w:div w:id="1108348920">
          <w:marLeft w:val="0"/>
          <w:marRight w:val="0"/>
          <w:marTop w:val="150"/>
          <w:marBottom w:val="0"/>
          <w:divBdr>
            <w:top w:val="none" w:sz="0" w:space="0" w:color="auto"/>
            <w:left w:val="none" w:sz="0" w:space="0" w:color="auto"/>
            <w:bottom w:val="none" w:sz="0" w:space="0" w:color="auto"/>
            <w:right w:val="none" w:sz="0" w:space="0" w:color="auto"/>
          </w:divBdr>
        </w:div>
        <w:div w:id="683632872">
          <w:marLeft w:val="0"/>
          <w:marRight w:val="0"/>
          <w:marTop w:val="150"/>
          <w:marBottom w:val="0"/>
          <w:divBdr>
            <w:top w:val="none" w:sz="0" w:space="0" w:color="auto"/>
            <w:left w:val="none" w:sz="0" w:space="0" w:color="auto"/>
            <w:bottom w:val="none" w:sz="0" w:space="0" w:color="auto"/>
            <w:right w:val="none" w:sz="0" w:space="0" w:color="auto"/>
          </w:divBdr>
        </w:div>
      </w:divsChild>
    </w:div>
    <w:div w:id="1098601910">
      <w:bodyDiv w:val="1"/>
      <w:marLeft w:val="0"/>
      <w:marRight w:val="0"/>
      <w:marTop w:val="0"/>
      <w:marBottom w:val="0"/>
      <w:divBdr>
        <w:top w:val="none" w:sz="0" w:space="0" w:color="auto"/>
        <w:left w:val="none" w:sz="0" w:space="0" w:color="auto"/>
        <w:bottom w:val="none" w:sz="0" w:space="0" w:color="auto"/>
        <w:right w:val="none" w:sz="0" w:space="0" w:color="auto"/>
      </w:divBdr>
      <w:divsChild>
        <w:div w:id="1127044897">
          <w:marLeft w:val="0"/>
          <w:marRight w:val="0"/>
          <w:marTop w:val="150"/>
          <w:marBottom w:val="0"/>
          <w:divBdr>
            <w:top w:val="none" w:sz="0" w:space="0" w:color="auto"/>
            <w:left w:val="none" w:sz="0" w:space="0" w:color="auto"/>
            <w:bottom w:val="none" w:sz="0" w:space="0" w:color="auto"/>
            <w:right w:val="none" w:sz="0" w:space="0" w:color="auto"/>
          </w:divBdr>
        </w:div>
      </w:divsChild>
    </w:div>
    <w:div w:id="1104423651">
      <w:bodyDiv w:val="1"/>
      <w:marLeft w:val="0"/>
      <w:marRight w:val="0"/>
      <w:marTop w:val="0"/>
      <w:marBottom w:val="0"/>
      <w:divBdr>
        <w:top w:val="none" w:sz="0" w:space="0" w:color="auto"/>
        <w:left w:val="none" w:sz="0" w:space="0" w:color="auto"/>
        <w:bottom w:val="none" w:sz="0" w:space="0" w:color="auto"/>
        <w:right w:val="none" w:sz="0" w:space="0" w:color="auto"/>
      </w:divBdr>
      <w:divsChild>
        <w:div w:id="43062781">
          <w:marLeft w:val="0"/>
          <w:marRight w:val="0"/>
          <w:marTop w:val="150"/>
          <w:marBottom w:val="0"/>
          <w:divBdr>
            <w:top w:val="none" w:sz="0" w:space="0" w:color="auto"/>
            <w:left w:val="none" w:sz="0" w:space="0" w:color="auto"/>
            <w:bottom w:val="none" w:sz="0" w:space="0" w:color="auto"/>
            <w:right w:val="none" w:sz="0" w:space="0" w:color="auto"/>
          </w:divBdr>
        </w:div>
        <w:div w:id="487987311">
          <w:marLeft w:val="0"/>
          <w:marRight w:val="0"/>
          <w:marTop w:val="150"/>
          <w:marBottom w:val="0"/>
          <w:divBdr>
            <w:top w:val="none" w:sz="0" w:space="0" w:color="auto"/>
            <w:left w:val="none" w:sz="0" w:space="0" w:color="auto"/>
            <w:bottom w:val="none" w:sz="0" w:space="0" w:color="auto"/>
            <w:right w:val="none" w:sz="0" w:space="0" w:color="auto"/>
          </w:divBdr>
        </w:div>
        <w:div w:id="1554541328">
          <w:marLeft w:val="0"/>
          <w:marRight w:val="0"/>
          <w:marTop w:val="150"/>
          <w:marBottom w:val="0"/>
          <w:divBdr>
            <w:top w:val="none" w:sz="0" w:space="0" w:color="auto"/>
            <w:left w:val="none" w:sz="0" w:space="0" w:color="auto"/>
            <w:bottom w:val="none" w:sz="0" w:space="0" w:color="auto"/>
            <w:right w:val="none" w:sz="0" w:space="0" w:color="auto"/>
          </w:divBdr>
        </w:div>
        <w:div w:id="1841584727">
          <w:marLeft w:val="0"/>
          <w:marRight w:val="0"/>
          <w:marTop w:val="150"/>
          <w:marBottom w:val="0"/>
          <w:divBdr>
            <w:top w:val="none" w:sz="0" w:space="0" w:color="auto"/>
            <w:left w:val="none" w:sz="0" w:space="0" w:color="auto"/>
            <w:bottom w:val="none" w:sz="0" w:space="0" w:color="auto"/>
            <w:right w:val="none" w:sz="0" w:space="0" w:color="auto"/>
          </w:divBdr>
        </w:div>
        <w:div w:id="1757746220">
          <w:marLeft w:val="0"/>
          <w:marRight w:val="0"/>
          <w:marTop w:val="150"/>
          <w:marBottom w:val="0"/>
          <w:divBdr>
            <w:top w:val="none" w:sz="0" w:space="0" w:color="auto"/>
            <w:left w:val="none" w:sz="0" w:space="0" w:color="auto"/>
            <w:bottom w:val="none" w:sz="0" w:space="0" w:color="auto"/>
            <w:right w:val="none" w:sz="0" w:space="0" w:color="auto"/>
          </w:divBdr>
        </w:div>
        <w:div w:id="1812361824">
          <w:marLeft w:val="0"/>
          <w:marRight w:val="0"/>
          <w:marTop w:val="150"/>
          <w:marBottom w:val="0"/>
          <w:divBdr>
            <w:top w:val="none" w:sz="0" w:space="0" w:color="auto"/>
            <w:left w:val="none" w:sz="0" w:space="0" w:color="auto"/>
            <w:bottom w:val="none" w:sz="0" w:space="0" w:color="auto"/>
            <w:right w:val="none" w:sz="0" w:space="0" w:color="auto"/>
          </w:divBdr>
        </w:div>
        <w:div w:id="1777405137">
          <w:marLeft w:val="0"/>
          <w:marRight w:val="0"/>
          <w:marTop w:val="150"/>
          <w:marBottom w:val="0"/>
          <w:divBdr>
            <w:top w:val="none" w:sz="0" w:space="0" w:color="auto"/>
            <w:left w:val="none" w:sz="0" w:space="0" w:color="auto"/>
            <w:bottom w:val="none" w:sz="0" w:space="0" w:color="auto"/>
            <w:right w:val="none" w:sz="0" w:space="0" w:color="auto"/>
          </w:divBdr>
        </w:div>
        <w:div w:id="1144083905">
          <w:marLeft w:val="0"/>
          <w:marRight w:val="0"/>
          <w:marTop w:val="150"/>
          <w:marBottom w:val="0"/>
          <w:divBdr>
            <w:top w:val="none" w:sz="0" w:space="0" w:color="auto"/>
            <w:left w:val="none" w:sz="0" w:space="0" w:color="auto"/>
            <w:bottom w:val="none" w:sz="0" w:space="0" w:color="auto"/>
            <w:right w:val="none" w:sz="0" w:space="0" w:color="auto"/>
          </w:divBdr>
        </w:div>
        <w:div w:id="1729524739">
          <w:marLeft w:val="0"/>
          <w:marRight w:val="0"/>
          <w:marTop w:val="150"/>
          <w:marBottom w:val="0"/>
          <w:divBdr>
            <w:top w:val="none" w:sz="0" w:space="0" w:color="auto"/>
            <w:left w:val="none" w:sz="0" w:space="0" w:color="auto"/>
            <w:bottom w:val="none" w:sz="0" w:space="0" w:color="auto"/>
            <w:right w:val="none" w:sz="0" w:space="0" w:color="auto"/>
          </w:divBdr>
        </w:div>
        <w:div w:id="1056316510">
          <w:marLeft w:val="0"/>
          <w:marRight w:val="0"/>
          <w:marTop w:val="150"/>
          <w:marBottom w:val="0"/>
          <w:divBdr>
            <w:top w:val="none" w:sz="0" w:space="0" w:color="auto"/>
            <w:left w:val="none" w:sz="0" w:space="0" w:color="auto"/>
            <w:bottom w:val="none" w:sz="0" w:space="0" w:color="auto"/>
            <w:right w:val="none" w:sz="0" w:space="0" w:color="auto"/>
          </w:divBdr>
        </w:div>
        <w:div w:id="1675767234">
          <w:marLeft w:val="0"/>
          <w:marRight w:val="0"/>
          <w:marTop w:val="150"/>
          <w:marBottom w:val="0"/>
          <w:divBdr>
            <w:top w:val="none" w:sz="0" w:space="0" w:color="auto"/>
            <w:left w:val="none" w:sz="0" w:space="0" w:color="auto"/>
            <w:bottom w:val="none" w:sz="0" w:space="0" w:color="auto"/>
            <w:right w:val="none" w:sz="0" w:space="0" w:color="auto"/>
          </w:divBdr>
        </w:div>
        <w:div w:id="2120639950">
          <w:marLeft w:val="0"/>
          <w:marRight w:val="0"/>
          <w:marTop w:val="150"/>
          <w:marBottom w:val="0"/>
          <w:divBdr>
            <w:top w:val="none" w:sz="0" w:space="0" w:color="auto"/>
            <w:left w:val="none" w:sz="0" w:space="0" w:color="auto"/>
            <w:bottom w:val="none" w:sz="0" w:space="0" w:color="auto"/>
            <w:right w:val="none" w:sz="0" w:space="0" w:color="auto"/>
          </w:divBdr>
        </w:div>
      </w:divsChild>
    </w:div>
    <w:div w:id="1104692444">
      <w:bodyDiv w:val="1"/>
      <w:marLeft w:val="0"/>
      <w:marRight w:val="0"/>
      <w:marTop w:val="0"/>
      <w:marBottom w:val="0"/>
      <w:divBdr>
        <w:top w:val="none" w:sz="0" w:space="0" w:color="auto"/>
        <w:left w:val="none" w:sz="0" w:space="0" w:color="auto"/>
        <w:bottom w:val="none" w:sz="0" w:space="0" w:color="auto"/>
        <w:right w:val="none" w:sz="0" w:space="0" w:color="auto"/>
      </w:divBdr>
      <w:divsChild>
        <w:div w:id="1930698330">
          <w:marLeft w:val="0"/>
          <w:marRight w:val="0"/>
          <w:marTop w:val="150"/>
          <w:marBottom w:val="0"/>
          <w:divBdr>
            <w:top w:val="none" w:sz="0" w:space="0" w:color="auto"/>
            <w:left w:val="none" w:sz="0" w:space="0" w:color="auto"/>
            <w:bottom w:val="none" w:sz="0" w:space="0" w:color="auto"/>
            <w:right w:val="none" w:sz="0" w:space="0" w:color="auto"/>
          </w:divBdr>
        </w:div>
        <w:div w:id="1827211129">
          <w:marLeft w:val="0"/>
          <w:marRight w:val="0"/>
          <w:marTop w:val="150"/>
          <w:marBottom w:val="0"/>
          <w:divBdr>
            <w:top w:val="none" w:sz="0" w:space="0" w:color="auto"/>
            <w:left w:val="none" w:sz="0" w:space="0" w:color="auto"/>
            <w:bottom w:val="none" w:sz="0" w:space="0" w:color="auto"/>
            <w:right w:val="none" w:sz="0" w:space="0" w:color="auto"/>
          </w:divBdr>
        </w:div>
        <w:div w:id="984503987">
          <w:marLeft w:val="0"/>
          <w:marRight w:val="0"/>
          <w:marTop w:val="150"/>
          <w:marBottom w:val="0"/>
          <w:divBdr>
            <w:top w:val="none" w:sz="0" w:space="0" w:color="auto"/>
            <w:left w:val="none" w:sz="0" w:space="0" w:color="auto"/>
            <w:bottom w:val="none" w:sz="0" w:space="0" w:color="auto"/>
            <w:right w:val="none" w:sz="0" w:space="0" w:color="auto"/>
          </w:divBdr>
          <w:divsChild>
            <w:div w:id="894926231">
              <w:marLeft w:val="0"/>
              <w:marRight w:val="0"/>
              <w:marTop w:val="0"/>
              <w:marBottom w:val="0"/>
              <w:divBdr>
                <w:top w:val="none" w:sz="0" w:space="0" w:color="auto"/>
                <w:left w:val="none" w:sz="0" w:space="0" w:color="auto"/>
                <w:bottom w:val="none" w:sz="0" w:space="0" w:color="auto"/>
                <w:right w:val="none" w:sz="0" w:space="0" w:color="auto"/>
              </w:divBdr>
            </w:div>
          </w:divsChild>
        </w:div>
        <w:div w:id="839736640">
          <w:marLeft w:val="0"/>
          <w:marRight w:val="0"/>
          <w:marTop w:val="150"/>
          <w:marBottom w:val="0"/>
          <w:divBdr>
            <w:top w:val="none" w:sz="0" w:space="0" w:color="auto"/>
            <w:left w:val="none" w:sz="0" w:space="0" w:color="auto"/>
            <w:bottom w:val="none" w:sz="0" w:space="0" w:color="auto"/>
            <w:right w:val="none" w:sz="0" w:space="0" w:color="auto"/>
          </w:divBdr>
        </w:div>
        <w:div w:id="85228926">
          <w:marLeft w:val="0"/>
          <w:marRight w:val="0"/>
          <w:marTop w:val="150"/>
          <w:marBottom w:val="0"/>
          <w:divBdr>
            <w:top w:val="none" w:sz="0" w:space="0" w:color="auto"/>
            <w:left w:val="none" w:sz="0" w:space="0" w:color="auto"/>
            <w:bottom w:val="none" w:sz="0" w:space="0" w:color="auto"/>
            <w:right w:val="none" w:sz="0" w:space="0" w:color="auto"/>
          </w:divBdr>
        </w:div>
        <w:div w:id="45955869">
          <w:marLeft w:val="0"/>
          <w:marRight w:val="0"/>
          <w:marTop w:val="150"/>
          <w:marBottom w:val="0"/>
          <w:divBdr>
            <w:top w:val="none" w:sz="0" w:space="0" w:color="auto"/>
            <w:left w:val="none" w:sz="0" w:space="0" w:color="auto"/>
            <w:bottom w:val="none" w:sz="0" w:space="0" w:color="auto"/>
            <w:right w:val="none" w:sz="0" w:space="0" w:color="auto"/>
          </w:divBdr>
        </w:div>
        <w:div w:id="1523739016">
          <w:marLeft w:val="0"/>
          <w:marRight w:val="0"/>
          <w:marTop w:val="150"/>
          <w:marBottom w:val="0"/>
          <w:divBdr>
            <w:top w:val="none" w:sz="0" w:space="0" w:color="auto"/>
            <w:left w:val="none" w:sz="0" w:space="0" w:color="auto"/>
            <w:bottom w:val="none" w:sz="0" w:space="0" w:color="auto"/>
            <w:right w:val="none" w:sz="0" w:space="0" w:color="auto"/>
          </w:divBdr>
        </w:div>
        <w:div w:id="547226240">
          <w:marLeft w:val="0"/>
          <w:marRight w:val="0"/>
          <w:marTop w:val="150"/>
          <w:marBottom w:val="0"/>
          <w:divBdr>
            <w:top w:val="none" w:sz="0" w:space="0" w:color="auto"/>
            <w:left w:val="none" w:sz="0" w:space="0" w:color="auto"/>
            <w:bottom w:val="none" w:sz="0" w:space="0" w:color="auto"/>
            <w:right w:val="none" w:sz="0" w:space="0" w:color="auto"/>
          </w:divBdr>
        </w:div>
        <w:div w:id="1582711050">
          <w:marLeft w:val="0"/>
          <w:marRight w:val="0"/>
          <w:marTop w:val="150"/>
          <w:marBottom w:val="0"/>
          <w:divBdr>
            <w:top w:val="none" w:sz="0" w:space="0" w:color="auto"/>
            <w:left w:val="none" w:sz="0" w:space="0" w:color="auto"/>
            <w:bottom w:val="none" w:sz="0" w:space="0" w:color="auto"/>
            <w:right w:val="none" w:sz="0" w:space="0" w:color="auto"/>
          </w:divBdr>
        </w:div>
        <w:div w:id="1015883110">
          <w:marLeft w:val="0"/>
          <w:marRight w:val="0"/>
          <w:marTop w:val="150"/>
          <w:marBottom w:val="0"/>
          <w:divBdr>
            <w:top w:val="none" w:sz="0" w:space="0" w:color="auto"/>
            <w:left w:val="none" w:sz="0" w:space="0" w:color="auto"/>
            <w:bottom w:val="none" w:sz="0" w:space="0" w:color="auto"/>
            <w:right w:val="none" w:sz="0" w:space="0" w:color="auto"/>
          </w:divBdr>
        </w:div>
        <w:div w:id="1001421979">
          <w:marLeft w:val="0"/>
          <w:marRight w:val="0"/>
          <w:marTop w:val="150"/>
          <w:marBottom w:val="0"/>
          <w:divBdr>
            <w:top w:val="none" w:sz="0" w:space="0" w:color="auto"/>
            <w:left w:val="none" w:sz="0" w:space="0" w:color="auto"/>
            <w:bottom w:val="none" w:sz="0" w:space="0" w:color="auto"/>
            <w:right w:val="none" w:sz="0" w:space="0" w:color="auto"/>
          </w:divBdr>
        </w:div>
        <w:div w:id="1763186912">
          <w:marLeft w:val="0"/>
          <w:marRight w:val="0"/>
          <w:marTop w:val="150"/>
          <w:marBottom w:val="0"/>
          <w:divBdr>
            <w:top w:val="none" w:sz="0" w:space="0" w:color="auto"/>
            <w:left w:val="none" w:sz="0" w:space="0" w:color="auto"/>
            <w:bottom w:val="none" w:sz="0" w:space="0" w:color="auto"/>
            <w:right w:val="none" w:sz="0" w:space="0" w:color="auto"/>
          </w:divBdr>
        </w:div>
        <w:div w:id="1288125902">
          <w:marLeft w:val="0"/>
          <w:marRight w:val="0"/>
          <w:marTop w:val="150"/>
          <w:marBottom w:val="0"/>
          <w:divBdr>
            <w:top w:val="none" w:sz="0" w:space="0" w:color="auto"/>
            <w:left w:val="none" w:sz="0" w:space="0" w:color="auto"/>
            <w:bottom w:val="none" w:sz="0" w:space="0" w:color="auto"/>
            <w:right w:val="none" w:sz="0" w:space="0" w:color="auto"/>
          </w:divBdr>
        </w:div>
        <w:div w:id="619536234">
          <w:marLeft w:val="0"/>
          <w:marRight w:val="0"/>
          <w:marTop w:val="150"/>
          <w:marBottom w:val="0"/>
          <w:divBdr>
            <w:top w:val="none" w:sz="0" w:space="0" w:color="auto"/>
            <w:left w:val="none" w:sz="0" w:space="0" w:color="auto"/>
            <w:bottom w:val="none" w:sz="0" w:space="0" w:color="auto"/>
            <w:right w:val="none" w:sz="0" w:space="0" w:color="auto"/>
          </w:divBdr>
        </w:div>
        <w:div w:id="26637800">
          <w:marLeft w:val="0"/>
          <w:marRight w:val="0"/>
          <w:marTop w:val="150"/>
          <w:marBottom w:val="0"/>
          <w:divBdr>
            <w:top w:val="none" w:sz="0" w:space="0" w:color="auto"/>
            <w:left w:val="none" w:sz="0" w:space="0" w:color="auto"/>
            <w:bottom w:val="none" w:sz="0" w:space="0" w:color="auto"/>
            <w:right w:val="none" w:sz="0" w:space="0" w:color="auto"/>
          </w:divBdr>
        </w:div>
        <w:div w:id="2034263799">
          <w:marLeft w:val="0"/>
          <w:marRight w:val="0"/>
          <w:marTop w:val="150"/>
          <w:marBottom w:val="0"/>
          <w:divBdr>
            <w:top w:val="none" w:sz="0" w:space="0" w:color="auto"/>
            <w:left w:val="none" w:sz="0" w:space="0" w:color="auto"/>
            <w:bottom w:val="none" w:sz="0" w:space="0" w:color="auto"/>
            <w:right w:val="none" w:sz="0" w:space="0" w:color="auto"/>
          </w:divBdr>
        </w:div>
        <w:div w:id="1101684222">
          <w:marLeft w:val="0"/>
          <w:marRight w:val="0"/>
          <w:marTop w:val="150"/>
          <w:marBottom w:val="0"/>
          <w:divBdr>
            <w:top w:val="none" w:sz="0" w:space="0" w:color="auto"/>
            <w:left w:val="none" w:sz="0" w:space="0" w:color="auto"/>
            <w:bottom w:val="none" w:sz="0" w:space="0" w:color="auto"/>
            <w:right w:val="none" w:sz="0" w:space="0" w:color="auto"/>
          </w:divBdr>
        </w:div>
        <w:div w:id="257177927">
          <w:marLeft w:val="0"/>
          <w:marRight w:val="0"/>
          <w:marTop w:val="150"/>
          <w:marBottom w:val="0"/>
          <w:divBdr>
            <w:top w:val="none" w:sz="0" w:space="0" w:color="auto"/>
            <w:left w:val="none" w:sz="0" w:space="0" w:color="auto"/>
            <w:bottom w:val="none" w:sz="0" w:space="0" w:color="auto"/>
            <w:right w:val="none" w:sz="0" w:space="0" w:color="auto"/>
          </w:divBdr>
        </w:div>
        <w:div w:id="1863320290">
          <w:marLeft w:val="0"/>
          <w:marRight w:val="0"/>
          <w:marTop w:val="150"/>
          <w:marBottom w:val="0"/>
          <w:divBdr>
            <w:top w:val="none" w:sz="0" w:space="0" w:color="auto"/>
            <w:left w:val="none" w:sz="0" w:space="0" w:color="auto"/>
            <w:bottom w:val="none" w:sz="0" w:space="0" w:color="auto"/>
            <w:right w:val="none" w:sz="0" w:space="0" w:color="auto"/>
          </w:divBdr>
        </w:div>
        <w:div w:id="771776751">
          <w:marLeft w:val="0"/>
          <w:marRight w:val="0"/>
          <w:marTop w:val="150"/>
          <w:marBottom w:val="0"/>
          <w:divBdr>
            <w:top w:val="none" w:sz="0" w:space="0" w:color="auto"/>
            <w:left w:val="none" w:sz="0" w:space="0" w:color="auto"/>
            <w:bottom w:val="none" w:sz="0" w:space="0" w:color="auto"/>
            <w:right w:val="none" w:sz="0" w:space="0" w:color="auto"/>
          </w:divBdr>
        </w:div>
        <w:div w:id="1582837418">
          <w:marLeft w:val="0"/>
          <w:marRight w:val="0"/>
          <w:marTop w:val="150"/>
          <w:marBottom w:val="0"/>
          <w:divBdr>
            <w:top w:val="none" w:sz="0" w:space="0" w:color="auto"/>
            <w:left w:val="none" w:sz="0" w:space="0" w:color="auto"/>
            <w:bottom w:val="none" w:sz="0" w:space="0" w:color="auto"/>
            <w:right w:val="none" w:sz="0" w:space="0" w:color="auto"/>
          </w:divBdr>
        </w:div>
        <w:div w:id="997423730">
          <w:marLeft w:val="0"/>
          <w:marRight w:val="0"/>
          <w:marTop w:val="150"/>
          <w:marBottom w:val="0"/>
          <w:divBdr>
            <w:top w:val="none" w:sz="0" w:space="0" w:color="auto"/>
            <w:left w:val="none" w:sz="0" w:space="0" w:color="auto"/>
            <w:bottom w:val="none" w:sz="0" w:space="0" w:color="auto"/>
            <w:right w:val="none" w:sz="0" w:space="0" w:color="auto"/>
          </w:divBdr>
        </w:div>
        <w:div w:id="1403212793">
          <w:marLeft w:val="0"/>
          <w:marRight w:val="0"/>
          <w:marTop w:val="150"/>
          <w:marBottom w:val="0"/>
          <w:divBdr>
            <w:top w:val="none" w:sz="0" w:space="0" w:color="auto"/>
            <w:left w:val="none" w:sz="0" w:space="0" w:color="auto"/>
            <w:bottom w:val="none" w:sz="0" w:space="0" w:color="auto"/>
            <w:right w:val="none" w:sz="0" w:space="0" w:color="auto"/>
          </w:divBdr>
        </w:div>
        <w:div w:id="828129742">
          <w:marLeft w:val="0"/>
          <w:marRight w:val="0"/>
          <w:marTop w:val="150"/>
          <w:marBottom w:val="0"/>
          <w:divBdr>
            <w:top w:val="none" w:sz="0" w:space="0" w:color="auto"/>
            <w:left w:val="none" w:sz="0" w:space="0" w:color="auto"/>
            <w:bottom w:val="none" w:sz="0" w:space="0" w:color="auto"/>
            <w:right w:val="none" w:sz="0" w:space="0" w:color="auto"/>
          </w:divBdr>
        </w:div>
        <w:div w:id="348260219">
          <w:marLeft w:val="0"/>
          <w:marRight w:val="0"/>
          <w:marTop w:val="150"/>
          <w:marBottom w:val="0"/>
          <w:divBdr>
            <w:top w:val="none" w:sz="0" w:space="0" w:color="auto"/>
            <w:left w:val="none" w:sz="0" w:space="0" w:color="auto"/>
            <w:bottom w:val="none" w:sz="0" w:space="0" w:color="auto"/>
            <w:right w:val="none" w:sz="0" w:space="0" w:color="auto"/>
          </w:divBdr>
        </w:div>
        <w:div w:id="1959674508">
          <w:marLeft w:val="0"/>
          <w:marRight w:val="0"/>
          <w:marTop w:val="150"/>
          <w:marBottom w:val="0"/>
          <w:divBdr>
            <w:top w:val="none" w:sz="0" w:space="0" w:color="auto"/>
            <w:left w:val="none" w:sz="0" w:space="0" w:color="auto"/>
            <w:bottom w:val="none" w:sz="0" w:space="0" w:color="auto"/>
            <w:right w:val="none" w:sz="0" w:space="0" w:color="auto"/>
          </w:divBdr>
        </w:div>
        <w:div w:id="633096956">
          <w:marLeft w:val="0"/>
          <w:marRight w:val="0"/>
          <w:marTop w:val="150"/>
          <w:marBottom w:val="0"/>
          <w:divBdr>
            <w:top w:val="none" w:sz="0" w:space="0" w:color="auto"/>
            <w:left w:val="none" w:sz="0" w:space="0" w:color="auto"/>
            <w:bottom w:val="none" w:sz="0" w:space="0" w:color="auto"/>
            <w:right w:val="none" w:sz="0" w:space="0" w:color="auto"/>
          </w:divBdr>
        </w:div>
      </w:divsChild>
    </w:div>
    <w:div w:id="1172404852">
      <w:bodyDiv w:val="1"/>
      <w:marLeft w:val="0"/>
      <w:marRight w:val="0"/>
      <w:marTop w:val="0"/>
      <w:marBottom w:val="0"/>
      <w:divBdr>
        <w:top w:val="none" w:sz="0" w:space="0" w:color="auto"/>
        <w:left w:val="none" w:sz="0" w:space="0" w:color="auto"/>
        <w:bottom w:val="none" w:sz="0" w:space="0" w:color="auto"/>
        <w:right w:val="none" w:sz="0" w:space="0" w:color="auto"/>
      </w:divBdr>
      <w:divsChild>
        <w:div w:id="682904659">
          <w:marLeft w:val="0"/>
          <w:marRight w:val="0"/>
          <w:marTop w:val="150"/>
          <w:marBottom w:val="0"/>
          <w:divBdr>
            <w:top w:val="none" w:sz="0" w:space="0" w:color="auto"/>
            <w:left w:val="none" w:sz="0" w:space="0" w:color="auto"/>
            <w:bottom w:val="none" w:sz="0" w:space="0" w:color="auto"/>
            <w:right w:val="none" w:sz="0" w:space="0" w:color="auto"/>
          </w:divBdr>
        </w:div>
        <w:div w:id="690107361">
          <w:marLeft w:val="0"/>
          <w:marRight w:val="0"/>
          <w:marTop w:val="150"/>
          <w:marBottom w:val="0"/>
          <w:divBdr>
            <w:top w:val="none" w:sz="0" w:space="0" w:color="auto"/>
            <w:left w:val="none" w:sz="0" w:space="0" w:color="auto"/>
            <w:bottom w:val="none" w:sz="0" w:space="0" w:color="auto"/>
            <w:right w:val="none" w:sz="0" w:space="0" w:color="auto"/>
          </w:divBdr>
        </w:div>
        <w:div w:id="2047485835">
          <w:marLeft w:val="0"/>
          <w:marRight w:val="0"/>
          <w:marTop w:val="150"/>
          <w:marBottom w:val="0"/>
          <w:divBdr>
            <w:top w:val="none" w:sz="0" w:space="0" w:color="auto"/>
            <w:left w:val="none" w:sz="0" w:space="0" w:color="auto"/>
            <w:bottom w:val="none" w:sz="0" w:space="0" w:color="auto"/>
            <w:right w:val="none" w:sz="0" w:space="0" w:color="auto"/>
          </w:divBdr>
        </w:div>
        <w:div w:id="1247418238">
          <w:marLeft w:val="0"/>
          <w:marRight w:val="0"/>
          <w:marTop w:val="150"/>
          <w:marBottom w:val="0"/>
          <w:divBdr>
            <w:top w:val="none" w:sz="0" w:space="0" w:color="auto"/>
            <w:left w:val="none" w:sz="0" w:space="0" w:color="auto"/>
            <w:bottom w:val="none" w:sz="0" w:space="0" w:color="auto"/>
            <w:right w:val="none" w:sz="0" w:space="0" w:color="auto"/>
          </w:divBdr>
        </w:div>
      </w:divsChild>
    </w:div>
    <w:div w:id="1267039765">
      <w:bodyDiv w:val="1"/>
      <w:marLeft w:val="0"/>
      <w:marRight w:val="0"/>
      <w:marTop w:val="0"/>
      <w:marBottom w:val="0"/>
      <w:divBdr>
        <w:top w:val="none" w:sz="0" w:space="0" w:color="auto"/>
        <w:left w:val="none" w:sz="0" w:space="0" w:color="auto"/>
        <w:bottom w:val="none" w:sz="0" w:space="0" w:color="auto"/>
        <w:right w:val="none" w:sz="0" w:space="0" w:color="auto"/>
      </w:divBdr>
      <w:divsChild>
        <w:div w:id="467164051">
          <w:marLeft w:val="0"/>
          <w:marRight w:val="0"/>
          <w:marTop w:val="150"/>
          <w:marBottom w:val="0"/>
          <w:divBdr>
            <w:top w:val="none" w:sz="0" w:space="0" w:color="auto"/>
            <w:left w:val="none" w:sz="0" w:space="0" w:color="auto"/>
            <w:bottom w:val="none" w:sz="0" w:space="0" w:color="auto"/>
            <w:right w:val="none" w:sz="0" w:space="0" w:color="auto"/>
          </w:divBdr>
        </w:div>
        <w:div w:id="1037851055">
          <w:marLeft w:val="0"/>
          <w:marRight w:val="0"/>
          <w:marTop w:val="150"/>
          <w:marBottom w:val="0"/>
          <w:divBdr>
            <w:top w:val="none" w:sz="0" w:space="0" w:color="auto"/>
            <w:left w:val="none" w:sz="0" w:space="0" w:color="auto"/>
            <w:bottom w:val="none" w:sz="0" w:space="0" w:color="auto"/>
            <w:right w:val="none" w:sz="0" w:space="0" w:color="auto"/>
          </w:divBdr>
        </w:div>
        <w:div w:id="547111181">
          <w:marLeft w:val="0"/>
          <w:marRight w:val="0"/>
          <w:marTop w:val="150"/>
          <w:marBottom w:val="0"/>
          <w:divBdr>
            <w:top w:val="none" w:sz="0" w:space="0" w:color="auto"/>
            <w:left w:val="none" w:sz="0" w:space="0" w:color="auto"/>
            <w:bottom w:val="none" w:sz="0" w:space="0" w:color="auto"/>
            <w:right w:val="none" w:sz="0" w:space="0" w:color="auto"/>
          </w:divBdr>
        </w:div>
        <w:div w:id="415590749">
          <w:marLeft w:val="0"/>
          <w:marRight w:val="0"/>
          <w:marTop w:val="150"/>
          <w:marBottom w:val="0"/>
          <w:divBdr>
            <w:top w:val="none" w:sz="0" w:space="0" w:color="auto"/>
            <w:left w:val="none" w:sz="0" w:space="0" w:color="auto"/>
            <w:bottom w:val="none" w:sz="0" w:space="0" w:color="auto"/>
            <w:right w:val="none" w:sz="0" w:space="0" w:color="auto"/>
          </w:divBdr>
        </w:div>
      </w:divsChild>
    </w:div>
    <w:div w:id="1326205530">
      <w:bodyDiv w:val="1"/>
      <w:marLeft w:val="0"/>
      <w:marRight w:val="0"/>
      <w:marTop w:val="0"/>
      <w:marBottom w:val="0"/>
      <w:divBdr>
        <w:top w:val="none" w:sz="0" w:space="0" w:color="auto"/>
        <w:left w:val="none" w:sz="0" w:space="0" w:color="auto"/>
        <w:bottom w:val="none" w:sz="0" w:space="0" w:color="auto"/>
        <w:right w:val="none" w:sz="0" w:space="0" w:color="auto"/>
      </w:divBdr>
      <w:divsChild>
        <w:div w:id="2046756433">
          <w:marLeft w:val="0"/>
          <w:marRight w:val="0"/>
          <w:marTop w:val="150"/>
          <w:marBottom w:val="0"/>
          <w:divBdr>
            <w:top w:val="none" w:sz="0" w:space="0" w:color="auto"/>
            <w:left w:val="none" w:sz="0" w:space="0" w:color="auto"/>
            <w:bottom w:val="none" w:sz="0" w:space="0" w:color="auto"/>
            <w:right w:val="none" w:sz="0" w:space="0" w:color="auto"/>
          </w:divBdr>
        </w:div>
        <w:div w:id="1466582657">
          <w:marLeft w:val="0"/>
          <w:marRight w:val="0"/>
          <w:marTop w:val="150"/>
          <w:marBottom w:val="0"/>
          <w:divBdr>
            <w:top w:val="none" w:sz="0" w:space="0" w:color="auto"/>
            <w:left w:val="none" w:sz="0" w:space="0" w:color="auto"/>
            <w:bottom w:val="none" w:sz="0" w:space="0" w:color="auto"/>
            <w:right w:val="none" w:sz="0" w:space="0" w:color="auto"/>
          </w:divBdr>
        </w:div>
      </w:divsChild>
    </w:div>
    <w:div w:id="1587032068">
      <w:bodyDiv w:val="1"/>
      <w:marLeft w:val="0"/>
      <w:marRight w:val="0"/>
      <w:marTop w:val="0"/>
      <w:marBottom w:val="0"/>
      <w:divBdr>
        <w:top w:val="none" w:sz="0" w:space="0" w:color="auto"/>
        <w:left w:val="none" w:sz="0" w:space="0" w:color="auto"/>
        <w:bottom w:val="none" w:sz="0" w:space="0" w:color="auto"/>
        <w:right w:val="none" w:sz="0" w:space="0" w:color="auto"/>
      </w:divBdr>
      <w:divsChild>
        <w:div w:id="208732465">
          <w:marLeft w:val="0"/>
          <w:marRight w:val="0"/>
          <w:marTop w:val="150"/>
          <w:marBottom w:val="0"/>
          <w:divBdr>
            <w:top w:val="none" w:sz="0" w:space="0" w:color="auto"/>
            <w:left w:val="none" w:sz="0" w:space="0" w:color="auto"/>
            <w:bottom w:val="none" w:sz="0" w:space="0" w:color="auto"/>
            <w:right w:val="none" w:sz="0" w:space="0" w:color="auto"/>
          </w:divBdr>
        </w:div>
        <w:div w:id="1131292745">
          <w:marLeft w:val="0"/>
          <w:marRight w:val="0"/>
          <w:marTop w:val="150"/>
          <w:marBottom w:val="0"/>
          <w:divBdr>
            <w:top w:val="none" w:sz="0" w:space="0" w:color="auto"/>
            <w:left w:val="none" w:sz="0" w:space="0" w:color="auto"/>
            <w:bottom w:val="none" w:sz="0" w:space="0" w:color="auto"/>
            <w:right w:val="none" w:sz="0" w:space="0" w:color="auto"/>
          </w:divBdr>
        </w:div>
        <w:div w:id="268003808">
          <w:marLeft w:val="0"/>
          <w:marRight w:val="0"/>
          <w:marTop w:val="150"/>
          <w:marBottom w:val="0"/>
          <w:divBdr>
            <w:top w:val="none" w:sz="0" w:space="0" w:color="auto"/>
            <w:left w:val="none" w:sz="0" w:space="0" w:color="auto"/>
            <w:bottom w:val="none" w:sz="0" w:space="0" w:color="auto"/>
            <w:right w:val="none" w:sz="0" w:space="0" w:color="auto"/>
          </w:divBdr>
        </w:div>
        <w:div w:id="1763867371">
          <w:marLeft w:val="0"/>
          <w:marRight w:val="0"/>
          <w:marTop w:val="150"/>
          <w:marBottom w:val="0"/>
          <w:divBdr>
            <w:top w:val="none" w:sz="0" w:space="0" w:color="auto"/>
            <w:left w:val="none" w:sz="0" w:space="0" w:color="auto"/>
            <w:bottom w:val="none" w:sz="0" w:space="0" w:color="auto"/>
            <w:right w:val="none" w:sz="0" w:space="0" w:color="auto"/>
          </w:divBdr>
        </w:div>
        <w:div w:id="1009605397">
          <w:marLeft w:val="0"/>
          <w:marRight w:val="0"/>
          <w:marTop w:val="150"/>
          <w:marBottom w:val="0"/>
          <w:divBdr>
            <w:top w:val="none" w:sz="0" w:space="0" w:color="auto"/>
            <w:left w:val="none" w:sz="0" w:space="0" w:color="auto"/>
            <w:bottom w:val="none" w:sz="0" w:space="0" w:color="auto"/>
            <w:right w:val="none" w:sz="0" w:space="0" w:color="auto"/>
          </w:divBdr>
        </w:div>
        <w:div w:id="1204904619">
          <w:marLeft w:val="0"/>
          <w:marRight w:val="0"/>
          <w:marTop w:val="150"/>
          <w:marBottom w:val="0"/>
          <w:divBdr>
            <w:top w:val="none" w:sz="0" w:space="0" w:color="auto"/>
            <w:left w:val="none" w:sz="0" w:space="0" w:color="auto"/>
            <w:bottom w:val="none" w:sz="0" w:space="0" w:color="auto"/>
            <w:right w:val="none" w:sz="0" w:space="0" w:color="auto"/>
          </w:divBdr>
        </w:div>
      </w:divsChild>
    </w:div>
    <w:div w:id="1676958742">
      <w:bodyDiv w:val="1"/>
      <w:marLeft w:val="0"/>
      <w:marRight w:val="0"/>
      <w:marTop w:val="0"/>
      <w:marBottom w:val="0"/>
      <w:divBdr>
        <w:top w:val="none" w:sz="0" w:space="0" w:color="auto"/>
        <w:left w:val="none" w:sz="0" w:space="0" w:color="auto"/>
        <w:bottom w:val="none" w:sz="0" w:space="0" w:color="auto"/>
        <w:right w:val="none" w:sz="0" w:space="0" w:color="auto"/>
      </w:divBdr>
      <w:divsChild>
        <w:div w:id="849610325">
          <w:marLeft w:val="0"/>
          <w:marRight w:val="0"/>
          <w:marTop w:val="150"/>
          <w:marBottom w:val="0"/>
          <w:divBdr>
            <w:top w:val="none" w:sz="0" w:space="0" w:color="auto"/>
            <w:left w:val="none" w:sz="0" w:space="0" w:color="auto"/>
            <w:bottom w:val="none" w:sz="0" w:space="0" w:color="auto"/>
            <w:right w:val="none" w:sz="0" w:space="0" w:color="auto"/>
          </w:divBdr>
        </w:div>
      </w:divsChild>
    </w:div>
    <w:div w:id="1817842361">
      <w:bodyDiv w:val="1"/>
      <w:marLeft w:val="0"/>
      <w:marRight w:val="0"/>
      <w:marTop w:val="0"/>
      <w:marBottom w:val="0"/>
      <w:divBdr>
        <w:top w:val="none" w:sz="0" w:space="0" w:color="auto"/>
        <w:left w:val="none" w:sz="0" w:space="0" w:color="auto"/>
        <w:bottom w:val="none" w:sz="0" w:space="0" w:color="auto"/>
        <w:right w:val="none" w:sz="0" w:space="0" w:color="auto"/>
      </w:divBdr>
      <w:divsChild>
        <w:div w:id="2134907482">
          <w:marLeft w:val="0"/>
          <w:marRight w:val="0"/>
          <w:marTop w:val="0"/>
          <w:marBottom w:val="0"/>
          <w:divBdr>
            <w:top w:val="none" w:sz="0" w:space="0" w:color="auto"/>
            <w:left w:val="none" w:sz="0" w:space="0" w:color="auto"/>
            <w:bottom w:val="none" w:sz="0" w:space="0" w:color="auto"/>
            <w:right w:val="none" w:sz="0" w:space="0" w:color="auto"/>
          </w:divBdr>
        </w:div>
        <w:div w:id="1260138068">
          <w:marLeft w:val="0"/>
          <w:marRight w:val="0"/>
          <w:marTop w:val="150"/>
          <w:marBottom w:val="0"/>
          <w:divBdr>
            <w:top w:val="none" w:sz="0" w:space="0" w:color="auto"/>
            <w:left w:val="none" w:sz="0" w:space="0" w:color="auto"/>
            <w:bottom w:val="none" w:sz="0" w:space="0" w:color="auto"/>
            <w:right w:val="none" w:sz="0" w:space="0" w:color="auto"/>
          </w:divBdr>
        </w:div>
        <w:div w:id="1764450380">
          <w:marLeft w:val="0"/>
          <w:marRight w:val="0"/>
          <w:marTop w:val="0"/>
          <w:marBottom w:val="0"/>
          <w:divBdr>
            <w:top w:val="none" w:sz="0" w:space="0" w:color="auto"/>
            <w:left w:val="none" w:sz="0" w:space="0" w:color="auto"/>
            <w:bottom w:val="none" w:sz="0" w:space="0" w:color="auto"/>
            <w:right w:val="none" w:sz="0" w:space="0" w:color="auto"/>
          </w:divBdr>
        </w:div>
      </w:divsChild>
    </w:div>
    <w:div w:id="1946882136">
      <w:bodyDiv w:val="1"/>
      <w:marLeft w:val="0"/>
      <w:marRight w:val="0"/>
      <w:marTop w:val="0"/>
      <w:marBottom w:val="0"/>
      <w:divBdr>
        <w:top w:val="none" w:sz="0" w:space="0" w:color="auto"/>
        <w:left w:val="none" w:sz="0" w:space="0" w:color="auto"/>
        <w:bottom w:val="none" w:sz="0" w:space="0" w:color="auto"/>
        <w:right w:val="none" w:sz="0" w:space="0" w:color="auto"/>
      </w:divBdr>
      <w:divsChild>
        <w:div w:id="1200898853">
          <w:marLeft w:val="0"/>
          <w:marRight w:val="0"/>
          <w:marTop w:val="150"/>
          <w:marBottom w:val="0"/>
          <w:divBdr>
            <w:top w:val="none" w:sz="0" w:space="0" w:color="auto"/>
            <w:left w:val="none" w:sz="0" w:space="0" w:color="auto"/>
            <w:bottom w:val="none" w:sz="0" w:space="0" w:color="auto"/>
            <w:right w:val="none" w:sz="0" w:space="0" w:color="auto"/>
          </w:divBdr>
        </w:div>
      </w:divsChild>
    </w:div>
    <w:div w:id="1968316879">
      <w:bodyDiv w:val="1"/>
      <w:marLeft w:val="0"/>
      <w:marRight w:val="0"/>
      <w:marTop w:val="0"/>
      <w:marBottom w:val="0"/>
      <w:divBdr>
        <w:top w:val="none" w:sz="0" w:space="0" w:color="auto"/>
        <w:left w:val="none" w:sz="0" w:space="0" w:color="auto"/>
        <w:bottom w:val="none" w:sz="0" w:space="0" w:color="auto"/>
        <w:right w:val="none" w:sz="0" w:space="0" w:color="auto"/>
      </w:divBdr>
      <w:divsChild>
        <w:div w:id="141122239">
          <w:marLeft w:val="0"/>
          <w:marRight w:val="0"/>
          <w:marTop w:val="150"/>
          <w:marBottom w:val="0"/>
          <w:divBdr>
            <w:top w:val="none" w:sz="0" w:space="0" w:color="auto"/>
            <w:left w:val="none" w:sz="0" w:space="0" w:color="auto"/>
            <w:bottom w:val="none" w:sz="0" w:space="0" w:color="auto"/>
            <w:right w:val="none" w:sz="0" w:space="0" w:color="auto"/>
          </w:divBdr>
        </w:div>
        <w:div w:id="53478860">
          <w:marLeft w:val="0"/>
          <w:marRight w:val="0"/>
          <w:marTop w:val="150"/>
          <w:marBottom w:val="0"/>
          <w:divBdr>
            <w:top w:val="none" w:sz="0" w:space="0" w:color="auto"/>
            <w:left w:val="none" w:sz="0" w:space="0" w:color="auto"/>
            <w:bottom w:val="none" w:sz="0" w:space="0" w:color="auto"/>
            <w:right w:val="none" w:sz="0" w:space="0" w:color="auto"/>
          </w:divBdr>
        </w:div>
        <w:div w:id="1632395727">
          <w:marLeft w:val="0"/>
          <w:marRight w:val="0"/>
          <w:marTop w:val="150"/>
          <w:marBottom w:val="0"/>
          <w:divBdr>
            <w:top w:val="none" w:sz="0" w:space="0" w:color="auto"/>
            <w:left w:val="none" w:sz="0" w:space="0" w:color="auto"/>
            <w:bottom w:val="none" w:sz="0" w:space="0" w:color="auto"/>
            <w:right w:val="none" w:sz="0" w:space="0" w:color="auto"/>
          </w:divBdr>
        </w:div>
        <w:div w:id="1880239118">
          <w:marLeft w:val="0"/>
          <w:marRight w:val="0"/>
          <w:marTop w:val="150"/>
          <w:marBottom w:val="0"/>
          <w:divBdr>
            <w:top w:val="none" w:sz="0" w:space="0" w:color="auto"/>
            <w:left w:val="none" w:sz="0" w:space="0" w:color="auto"/>
            <w:bottom w:val="none" w:sz="0" w:space="0" w:color="auto"/>
            <w:right w:val="none" w:sz="0" w:space="0" w:color="auto"/>
          </w:divBdr>
        </w:div>
        <w:div w:id="921449052">
          <w:marLeft w:val="0"/>
          <w:marRight w:val="0"/>
          <w:marTop w:val="150"/>
          <w:marBottom w:val="0"/>
          <w:divBdr>
            <w:top w:val="none" w:sz="0" w:space="0" w:color="auto"/>
            <w:left w:val="none" w:sz="0" w:space="0" w:color="auto"/>
            <w:bottom w:val="none" w:sz="0" w:space="0" w:color="auto"/>
            <w:right w:val="none" w:sz="0" w:space="0" w:color="auto"/>
          </w:divBdr>
        </w:div>
        <w:div w:id="447703211">
          <w:marLeft w:val="0"/>
          <w:marRight w:val="0"/>
          <w:marTop w:val="150"/>
          <w:marBottom w:val="0"/>
          <w:divBdr>
            <w:top w:val="none" w:sz="0" w:space="0" w:color="auto"/>
            <w:left w:val="none" w:sz="0" w:space="0" w:color="auto"/>
            <w:bottom w:val="none" w:sz="0" w:space="0" w:color="auto"/>
            <w:right w:val="none" w:sz="0" w:space="0" w:color="auto"/>
          </w:divBdr>
        </w:div>
        <w:div w:id="291249407">
          <w:marLeft w:val="0"/>
          <w:marRight w:val="0"/>
          <w:marTop w:val="150"/>
          <w:marBottom w:val="0"/>
          <w:divBdr>
            <w:top w:val="none" w:sz="0" w:space="0" w:color="auto"/>
            <w:left w:val="none" w:sz="0" w:space="0" w:color="auto"/>
            <w:bottom w:val="none" w:sz="0" w:space="0" w:color="auto"/>
            <w:right w:val="none" w:sz="0" w:space="0" w:color="auto"/>
          </w:divBdr>
        </w:div>
        <w:div w:id="1966693812">
          <w:marLeft w:val="0"/>
          <w:marRight w:val="0"/>
          <w:marTop w:val="150"/>
          <w:marBottom w:val="0"/>
          <w:divBdr>
            <w:top w:val="none" w:sz="0" w:space="0" w:color="auto"/>
            <w:left w:val="none" w:sz="0" w:space="0" w:color="auto"/>
            <w:bottom w:val="none" w:sz="0" w:space="0" w:color="auto"/>
            <w:right w:val="none" w:sz="0" w:space="0" w:color="auto"/>
          </w:divBdr>
        </w:div>
      </w:divsChild>
    </w:div>
    <w:div w:id="2027438818">
      <w:bodyDiv w:val="1"/>
      <w:marLeft w:val="0"/>
      <w:marRight w:val="0"/>
      <w:marTop w:val="0"/>
      <w:marBottom w:val="0"/>
      <w:divBdr>
        <w:top w:val="none" w:sz="0" w:space="0" w:color="auto"/>
        <w:left w:val="none" w:sz="0" w:space="0" w:color="auto"/>
        <w:bottom w:val="none" w:sz="0" w:space="0" w:color="auto"/>
        <w:right w:val="none" w:sz="0" w:space="0" w:color="auto"/>
      </w:divBdr>
      <w:divsChild>
        <w:div w:id="118040250">
          <w:marLeft w:val="0"/>
          <w:marRight w:val="0"/>
          <w:marTop w:val="150"/>
          <w:marBottom w:val="0"/>
          <w:divBdr>
            <w:top w:val="none" w:sz="0" w:space="0" w:color="auto"/>
            <w:left w:val="none" w:sz="0" w:space="0" w:color="auto"/>
            <w:bottom w:val="none" w:sz="0" w:space="0" w:color="auto"/>
            <w:right w:val="none" w:sz="0" w:space="0" w:color="auto"/>
          </w:divBdr>
        </w:div>
        <w:div w:id="116188864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sozluk.ikv.org.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187D9-9D24-4215-B4E9-D52B415F0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22013</Words>
  <Characters>125475</Characters>
  <Application>Microsoft Office Word</Application>
  <DocSecurity>0</DocSecurity>
  <Lines>1045</Lines>
  <Paragraphs>294</Paragraphs>
  <ScaleCrop>false</ScaleCrop>
  <HeadingPairs>
    <vt:vector size="4" baseType="variant">
      <vt:variant>
        <vt:lpstr>Konu Başlığı</vt:lpstr>
      </vt:variant>
      <vt:variant>
        <vt:i4>1</vt:i4>
      </vt:variant>
      <vt:variant>
        <vt:lpstr>Başlıklar</vt:lpstr>
      </vt:variant>
      <vt:variant>
        <vt:i4>82</vt:i4>
      </vt:variant>
    </vt:vector>
  </HeadingPairs>
  <TitlesOfParts>
    <vt:vector size="83" baseType="lpstr">
      <vt:lpstr/>
      <vt:lpstr/>
      <vt:lpstr>A</vt:lpstr>
      <vt:lpstr>Altılı Paket</vt:lpstr>
      <vt:lpstr>Altın Kural</vt:lpstr>
      <vt:lpstr>Aşırı Açık Prosedürü</vt:lpstr>
      <vt:lpstr>Aşırı Dengesizlik Prosedürü</vt:lpstr>
      <vt:lpstr>Avro</vt:lpstr>
      <vt:lpstr>Avro Alanı</vt:lpstr>
      <vt:lpstr>Avro Artı Paktı / Avro Paktı</vt:lpstr>
      <vt:lpstr>Avro Grubu</vt:lpstr>
      <vt:lpstr>Avrupa 2020 Stratejisi</vt:lpstr>
      <vt:lpstr>Avrupa Bankacılık Denetleme Kurumları Komitesi</vt:lpstr>
      <vt:lpstr>Avrupa Bankacılık Otoritesi</vt:lpstr>
      <vt:lpstr>Avrupa Ekonomik Kurtarma Planı</vt:lpstr>
      <vt:lpstr>Avrupa Finansal İstikrar Fonu</vt:lpstr>
      <vt:lpstr>Avrupa Finansal İstikrar Mekanizması</vt:lpstr>
      <vt:lpstr>Avrupa Gölge Finansal Düzenleyici Komitesi</vt:lpstr>
      <vt:lpstr>Avrupa İlerleme Mikrofinansman Aracı</vt:lpstr>
      <vt:lpstr>Avrupa İstikrar Mekanizması</vt:lpstr>
      <vt:lpstr>Avrupa Kurtarma Fonu</vt:lpstr>
      <vt:lpstr>Avrupa Küreselleşme Uyum Fonu</vt:lpstr>
      <vt:lpstr>Avrupa Menkul Kıymetler ve Piyasalar Otoritesi</vt:lpstr>
      <vt:lpstr>Avrupa Merkez Bankası</vt:lpstr>
      <vt:lpstr>Avrupa Merkez Bankaları Sistemi</vt:lpstr>
      <vt:lpstr>Avrupa Sigortacılık ve Emeklilik Otoritesi</vt:lpstr>
      <vt:lpstr>Avrupa Sistemik Riskler Kurulu</vt:lpstr>
      <vt:lpstr>Avrupa Sömestri</vt:lpstr>
      <vt:lpstr>Avrupa Tahvilleri / İstikrar Tahvilleri</vt:lpstr>
      <vt:lpstr>Avrupa Yatırım Bankası</vt:lpstr>
      <vt:lpstr/>
      <vt:lpstr/>
      <vt:lpstr>B</vt:lpstr>
      <vt:lpstr>Bankacılık Birliği</vt:lpstr>
      <vt:lpstr>Basel Anlaşması</vt:lpstr>
      <vt:lpstr>Batık Krediler</vt:lpstr>
      <vt:lpstr>“Biz Yüzde 99’uz”</vt:lpstr>
      <vt:lpstr>Borcun Sürdürülebilirliği</vt:lpstr>
      <vt:lpstr>Borçlanan Ülkeler</vt:lpstr>
      <vt:lpstr>Bretton Woods Sistemi</vt:lpstr>
      <vt:lpstr>Bütçe Açığı</vt:lpstr>
      <vt:lpstr>Bütçe Disiplini</vt:lpstr>
      <vt:lpstr>Büyüme Paktı</vt:lpstr>
      <vt:lpstr>Büyüme ve İstihdam Eylem Planı</vt:lpstr>
      <vt:lpstr>Büyüme ve İstihdam Paktı</vt:lpstr>
      <vt:lpstr>C</vt:lpstr>
      <vt:lpstr>Cari denge</vt:lpstr>
      <vt:lpstr>D</vt:lpstr>
      <vt:lpstr>Daimi Kriz Mekanizması</vt:lpstr>
      <vt:lpstr>De Larosière Grubu</vt:lpstr>
      <vt:lpstr>Derin ve Gerçek bir Ekonomik ve Parasal Birliğe Yönelik Eylem Planı</vt:lpstr>
      <vt:lpstr>Döviz Kuru Mekanizması / Avrupa Döviz Kuru Mekanizması</vt:lpstr>
      <vt:lpstr>Dünya Bankası</vt:lpstr>
      <vt:lpstr>Dünya Ekonomik Forumu</vt:lpstr>
      <vt:lpstr>E</vt:lpstr>
      <vt:lpstr>Ekonomik Hassasiyet Göstergesi</vt:lpstr>
      <vt:lpstr>Ekonomik ve Parasal Birlik</vt:lpstr>
      <vt:lpstr>Ekonomik Yönetişim</vt:lpstr>
      <vt:lpstr>Ekonomiyi Canlandırma Paketi</vt:lpstr>
      <vt:lpstr>F</vt:lpstr>
      <vt:lpstr>Fannie Mae ve Freddie Mac</vt:lpstr>
      <vt:lpstr>Finansal Denetim</vt:lpstr>
      <vt:lpstr>Finansal İstikrar Kurulu</vt:lpstr>
      <vt:lpstr>Finansal İşlemler Vergisi</vt:lpstr>
      <vt:lpstr>Finansal Kurumların Yeniden Sermayelendirilmesi</vt:lpstr>
      <vt:lpstr>FTSE 100 Endeksi</vt:lpstr>
      <vt:lpstr>G</vt:lpstr>
      <vt:lpstr>G-7</vt:lpstr>
      <vt:lpstr>G-8</vt:lpstr>
      <vt:lpstr>G-20</vt:lpstr>
      <vt:lpstr>Güvenlik Duvarı</vt:lpstr>
      <vt:lpstr>H</vt:lpstr>
      <vt:lpstr>Hedge Fonları / Serbest Yatırım Fonları</vt:lpstr>
      <vt:lpstr>İ</vt:lpstr>
      <vt:lpstr>İkili Paket</vt:lpstr>
      <vt:lpstr>İstikrar ve Büyüme Paktı</vt:lpstr>
      <vt:lpstr>K</vt:lpstr>
      <vt:lpstr>Kamu Borcu Krizi</vt:lpstr>
      <vt:lpstr>Kemer Sıkma Önlemleri</vt:lpstr>
      <vt:lpstr>Kredi Derecelendirme Kuruluşları</vt:lpstr>
      <vt:lpstr>Kredi Temerrüt Takası</vt:lpstr>
      <vt:lpstr>Kredi Veren Ülkeler</vt:lpstr>
      <vt:lpstr>Kurtarma Paketi</vt:lpstr>
    </vt:vector>
  </TitlesOfParts>
  <Company/>
  <LinksUpToDate>false</LinksUpToDate>
  <CharactersWithSpaces>147194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2023-09-22T08:33:00Z</dcterms:created>
  <dcterms:modified xsi:type="dcterms:W3CDTF">2023-09-22T08:33:00Z</dcterms:modified>
</cp:coreProperties>
</file>