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E32" w:rsidRPr="000B77F8" w:rsidRDefault="00AE614D" w:rsidP="001A0E32">
      <w:pPr>
        <w:pStyle w:val="Balk5"/>
        <w:rPr>
          <w:rFonts w:ascii="Times New Roman" w:eastAsia="Times New Roman" w:hAnsi="Times New Roman" w:cs="Times New Roman"/>
          <w:color w:val="0056B3"/>
          <w:sz w:val="28"/>
          <w:szCs w:val="28"/>
          <w:u w:val="single"/>
          <w:lang w:eastAsia="tr-TR"/>
        </w:rPr>
      </w:pPr>
      <w:r w:rsidRPr="000B77F8">
        <w:rPr>
          <w:rFonts w:ascii="Times New Roman" w:eastAsia="Times New Roman" w:hAnsi="Times New Roman" w:cs="Times New Roman"/>
          <w:sz w:val="28"/>
          <w:szCs w:val="28"/>
          <w:lang w:eastAsia="tr-TR"/>
        </w:rPr>
        <w:fldChar w:fldCharType="begin"/>
      </w:r>
      <w:r w:rsidR="001A0E32" w:rsidRPr="000B77F8">
        <w:rPr>
          <w:rFonts w:ascii="Times New Roman" w:eastAsia="Times New Roman" w:hAnsi="Times New Roman" w:cs="Times New Roman"/>
          <w:sz w:val="28"/>
          <w:szCs w:val="28"/>
          <w:lang w:eastAsia="tr-TR"/>
        </w:rPr>
        <w:instrText xml:space="preserve"> HYPERLINK "https://isbasi.com/blog/huzur-hakki-nedir-nasil-hesaplanir-kimlere-verilir" </w:instrText>
      </w:r>
      <w:r w:rsidRPr="000B77F8">
        <w:rPr>
          <w:rFonts w:ascii="Times New Roman" w:eastAsia="Times New Roman" w:hAnsi="Times New Roman" w:cs="Times New Roman"/>
          <w:sz w:val="28"/>
          <w:szCs w:val="28"/>
          <w:lang w:eastAsia="tr-TR"/>
        </w:rPr>
        <w:fldChar w:fldCharType="separate"/>
      </w:r>
      <w:r w:rsidR="001A0E32" w:rsidRPr="000B77F8">
        <w:rPr>
          <w:rFonts w:ascii="Times New Roman" w:eastAsia="Times New Roman" w:hAnsi="Times New Roman" w:cs="Times New Roman"/>
          <w:b/>
          <w:bCs/>
          <w:color w:val="0056B3"/>
          <w:kern w:val="36"/>
          <w:sz w:val="28"/>
          <w:szCs w:val="28"/>
          <w:lang w:eastAsia="tr-TR"/>
        </w:rPr>
        <w:t>Huzur Hakkı Nedir? Nasıl Hesaplanır? Kimlere Verilir?</w:t>
      </w:r>
    </w:p>
    <w:p w:rsidR="000B77F8" w:rsidRPr="000B77F8" w:rsidRDefault="00AE614D" w:rsidP="000B77F8">
      <w:pPr>
        <w:pStyle w:val="Balk5"/>
        <w:rPr>
          <w:rFonts w:ascii="Times New Roman" w:eastAsia="Times New Roman" w:hAnsi="Times New Roman" w:cs="Times New Roman"/>
          <w:b/>
          <w:color w:val="FF0000"/>
          <w:sz w:val="28"/>
          <w:szCs w:val="28"/>
          <w:lang w:eastAsia="tr-TR"/>
        </w:rPr>
      </w:pPr>
      <w:r w:rsidRPr="000B77F8">
        <w:rPr>
          <w:rFonts w:ascii="Times New Roman" w:eastAsia="Times New Roman" w:hAnsi="Times New Roman" w:cs="Times New Roman"/>
          <w:sz w:val="28"/>
          <w:szCs w:val="28"/>
          <w:lang w:eastAsia="tr-TR"/>
        </w:rPr>
        <w:fldChar w:fldCharType="end"/>
      </w:r>
      <w:r w:rsidR="000B77F8" w:rsidRPr="000B77F8">
        <w:rPr>
          <w:rFonts w:ascii="Times New Roman" w:hAnsi="Times New Roman" w:cs="Times New Roman"/>
          <w:b/>
          <w:bCs/>
          <w:color w:val="FF0000"/>
          <w:sz w:val="28"/>
          <w:szCs w:val="28"/>
        </w:rPr>
        <w:t>Huzur hakkı nedir?</w:t>
      </w:r>
    </w:p>
    <w:p w:rsidR="000B77F8" w:rsidRPr="000B77F8" w:rsidRDefault="000B77F8" w:rsidP="000B77F8">
      <w:pPr>
        <w:pStyle w:val="NormalWeb"/>
        <w:jc w:val="both"/>
        <w:textAlignment w:val="baseline"/>
        <w:rPr>
          <w:sz w:val="28"/>
          <w:szCs w:val="28"/>
        </w:rPr>
      </w:pPr>
      <w:r w:rsidRPr="000B77F8">
        <w:rPr>
          <w:sz w:val="28"/>
          <w:szCs w:val="28"/>
        </w:rPr>
        <w:t>Şirket ortakları, şirket müdürleri ve yönetim kurulu üyelerinin kanunen belli sorumluluk ve yükümlüleri vardır. Huzur Hakkı, bu kişilerin sorumluluk ve yükümlülükleri nedeni ile karşılaşabilecekleri riskleri azaltmak amacıyla belirlenen maddi karşılıktır.</w:t>
      </w:r>
    </w:p>
    <w:p w:rsidR="000B77F8" w:rsidRPr="000B77F8" w:rsidRDefault="000B77F8" w:rsidP="000B77F8">
      <w:pPr>
        <w:spacing w:after="225" w:line="240" w:lineRule="auto"/>
        <w:jc w:val="both"/>
        <w:rPr>
          <w:rFonts w:ascii="Times New Roman" w:eastAsia="Times New Roman" w:hAnsi="Times New Roman" w:cs="Times New Roman"/>
          <w:color w:val="363C40"/>
          <w:sz w:val="28"/>
          <w:szCs w:val="28"/>
          <w:lang w:eastAsia="tr-TR"/>
        </w:rPr>
      </w:pPr>
      <w:r w:rsidRPr="000B77F8">
        <w:rPr>
          <w:rFonts w:ascii="Times New Roman" w:eastAsia="Times New Roman" w:hAnsi="Times New Roman" w:cs="Times New Roman"/>
          <w:color w:val="363C40"/>
          <w:sz w:val="28"/>
          <w:szCs w:val="28"/>
          <w:lang w:eastAsia="tr-TR"/>
        </w:rPr>
        <w:t>Şirketler, vakıflar ve derneklerde, yönetim kurulu üyeleri ilgili kurumun işleriyle ilgili çeşitli kararlar almak için düzenli veya gerekli hallerde toplantı yaparlar. Yapılan bu yönetim kurulu toplantıları için zaman ve mesai harcanır. Harcanan bu zaman ve mesai kapsamında yönetim kurulu üyelerine huzur hakkı ödenir. Huzur hakkı pay dağıtımı değil, hizmet karşılığı alınan bir ücret türüdür. Bu sebeple de vergilendirmeye tabidir.</w:t>
      </w:r>
    </w:p>
    <w:p w:rsidR="000B77F8" w:rsidRPr="000B77F8" w:rsidRDefault="000B77F8" w:rsidP="000B77F8">
      <w:pPr>
        <w:pStyle w:val="Balk2"/>
        <w:textAlignment w:val="baseline"/>
        <w:rPr>
          <w:rFonts w:ascii="Times New Roman" w:hAnsi="Times New Roman" w:cs="Times New Roman"/>
          <w:bCs w:val="0"/>
          <w:color w:val="FF0000"/>
          <w:sz w:val="28"/>
          <w:szCs w:val="28"/>
        </w:rPr>
      </w:pPr>
      <w:r w:rsidRPr="000B77F8">
        <w:rPr>
          <w:rFonts w:ascii="Times New Roman" w:hAnsi="Times New Roman" w:cs="Times New Roman"/>
          <w:bCs w:val="0"/>
          <w:color w:val="FF0000"/>
          <w:sz w:val="28"/>
          <w:szCs w:val="28"/>
        </w:rPr>
        <w:t>Huzur hakkı ödemesi kimlere yapılır?</w:t>
      </w:r>
    </w:p>
    <w:p w:rsidR="000B77F8" w:rsidRPr="000B77F8" w:rsidRDefault="000B77F8" w:rsidP="000B77F8">
      <w:pPr>
        <w:pStyle w:val="NormalWeb"/>
        <w:textAlignment w:val="baseline"/>
        <w:rPr>
          <w:sz w:val="28"/>
          <w:szCs w:val="28"/>
        </w:rPr>
      </w:pPr>
      <w:r w:rsidRPr="000B77F8">
        <w:rPr>
          <w:sz w:val="28"/>
          <w:szCs w:val="28"/>
        </w:rPr>
        <w:t xml:space="preserve">Sıkça karşılaştığımız sorulardan biri de; "Huzur hakkı kimlere ödenir?" oluyor. Huzur Hakkı ödemesi anonim şirketlerde yönetim kurulu üyelerine ve </w:t>
      </w:r>
      <w:proofErr w:type="spellStart"/>
      <w:r w:rsidRPr="000B77F8">
        <w:rPr>
          <w:sz w:val="28"/>
          <w:szCs w:val="28"/>
        </w:rPr>
        <w:t>limited</w:t>
      </w:r>
      <w:proofErr w:type="spellEnd"/>
      <w:r w:rsidRPr="000B77F8">
        <w:rPr>
          <w:sz w:val="28"/>
          <w:szCs w:val="28"/>
        </w:rPr>
        <w:t xml:space="preserve"> şirketler için müdür sıfatına sahip ortaklar ve müdür olmayan ortaklara yapılabilir. </w:t>
      </w:r>
    </w:p>
    <w:p w:rsidR="000B77F8" w:rsidRPr="000B77F8" w:rsidRDefault="000B77F8" w:rsidP="000B77F8">
      <w:pPr>
        <w:spacing w:after="225" w:line="240" w:lineRule="auto"/>
        <w:jc w:val="both"/>
        <w:rPr>
          <w:rFonts w:ascii="Times New Roman" w:eastAsia="Times New Roman" w:hAnsi="Times New Roman" w:cs="Times New Roman"/>
          <w:color w:val="363C40"/>
          <w:sz w:val="28"/>
          <w:szCs w:val="28"/>
          <w:lang w:eastAsia="tr-TR"/>
        </w:rPr>
      </w:pPr>
      <w:r w:rsidRPr="000B77F8">
        <w:rPr>
          <w:rFonts w:ascii="Times New Roman" w:eastAsia="Times New Roman" w:hAnsi="Times New Roman" w:cs="Times New Roman"/>
          <w:color w:val="363C40"/>
          <w:sz w:val="28"/>
          <w:szCs w:val="28"/>
          <w:lang w:eastAsia="tr-TR"/>
        </w:rPr>
        <w:t>Huzur hakkı ödemeleri genel kurula gerek kalmaksızın yönetim kurulu kararıyla yapılabilir. Ancak huzur hakkı ödemesinin genel kurul ile tescillenmesi de mümkündür. Huzur hakkı ödemeleri toplantı başına yapılabileceği gibi gün, ay veya yıl cinsinden hesaplanarak da gerçekleştirilebilir. Huzur hakkı ödemeleri aynı zamanda muhasebe gideri olarak gösterilebilir. Huzur hakkı ödemesinde söz konusu yönetim kurulu üyesinin müdürlük icra ediyor olması veya olmaması önemli değildir.</w:t>
      </w:r>
    </w:p>
    <w:p w:rsidR="000B77F8" w:rsidRPr="000B77F8" w:rsidRDefault="000B77F8" w:rsidP="00BA7EC2">
      <w:pPr>
        <w:pStyle w:val="Balk2"/>
        <w:jc w:val="both"/>
        <w:textAlignment w:val="baseline"/>
        <w:rPr>
          <w:rFonts w:ascii="Times New Roman" w:hAnsi="Times New Roman" w:cs="Times New Roman"/>
          <w:bCs w:val="0"/>
          <w:color w:val="FF0000"/>
          <w:sz w:val="28"/>
          <w:szCs w:val="28"/>
        </w:rPr>
      </w:pPr>
      <w:r w:rsidRPr="000B77F8">
        <w:rPr>
          <w:rFonts w:ascii="Times New Roman" w:hAnsi="Times New Roman" w:cs="Times New Roman"/>
          <w:bCs w:val="0"/>
          <w:color w:val="FF0000"/>
          <w:sz w:val="28"/>
          <w:szCs w:val="28"/>
        </w:rPr>
        <w:t>Huzur hakkı hesaplanırken nelere dikkat etmeliyiz?</w:t>
      </w:r>
    </w:p>
    <w:p w:rsidR="000B77F8" w:rsidRPr="000B77F8" w:rsidRDefault="000B77F8" w:rsidP="00BA7EC2">
      <w:pPr>
        <w:pStyle w:val="NormalWeb"/>
        <w:spacing w:before="0" w:after="0"/>
        <w:jc w:val="both"/>
        <w:textAlignment w:val="baseline"/>
        <w:rPr>
          <w:sz w:val="28"/>
          <w:szCs w:val="28"/>
        </w:rPr>
      </w:pPr>
      <w:r w:rsidRPr="000B77F8">
        <w:rPr>
          <w:sz w:val="28"/>
          <w:szCs w:val="28"/>
        </w:rPr>
        <w:t>Şirketin huzur hakkı vermesi için bunun </w:t>
      </w:r>
      <w:hyperlink r:id="rId5" w:history="1">
        <w:r w:rsidRPr="000B77F8">
          <w:rPr>
            <w:rStyle w:val="Kpr"/>
            <w:color w:val="345066"/>
            <w:sz w:val="28"/>
            <w:szCs w:val="28"/>
            <w:bdr w:val="none" w:sz="0" w:space="0" w:color="auto" w:frame="1"/>
          </w:rPr>
          <w:t>şirket esas sözleşmesinde</w:t>
        </w:r>
      </w:hyperlink>
      <w:r w:rsidRPr="000B77F8">
        <w:rPr>
          <w:sz w:val="28"/>
          <w:szCs w:val="28"/>
        </w:rPr>
        <w:t> belirtilmesi ya da karar defterinde karara alınması gerekir ancak noter tasdiki gerekmez. Yine de özellikle birden çok ortaklı şirketlerde ileride bir itiraz olması söz konusu ise tescil yaptırılması daha uygun olur.</w:t>
      </w:r>
    </w:p>
    <w:p w:rsidR="000B77F8" w:rsidRPr="000B77F8" w:rsidRDefault="000B77F8" w:rsidP="00BA7EC2">
      <w:pPr>
        <w:pStyle w:val="Balk2"/>
        <w:jc w:val="both"/>
        <w:textAlignment w:val="baseline"/>
        <w:rPr>
          <w:rFonts w:ascii="Times New Roman" w:hAnsi="Times New Roman" w:cs="Times New Roman"/>
          <w:bCs w:val="0"/>
          <w:color w:val="FF0000"/>
          <w:sz w:val="28"/>
          <w:szCs w:val="28"/>
        </w:rPr>
      </w:pPr>
      <w:r w:rsidRPr="000B77F8">
        <w:rPr>
          <w:rFonts w:ascii="Times New Roman" w:hAnsi="Times New Roman" w:cs="Times New Roman"/>
          <w:bCs w:val="0"/>
          <w:color w:val="FF0000"/>
          <w:sz w:val="28"/>
          <w:szCs w:val="28"/>
        </w:rPr>
        <w:t>Huzur hakkı nasıl hesaplanır?</w:t>
      </w:r>
    </w:p>
    <w:p w:rsidR="001A0E32" w:rsidRPr="000B77F8" w:rsidRDefault="000B77F8" w:rsidP="00BA7EC2">
      <w:pPr>
        <w:pStyle w:val="NormalWeb"/>
        <w:jc w:val="both"/>
        <w:textAlignment w:val="baseline"/>
        <w:rPr>
          <w:sz w:val="28"/>
          <w:szCs w:val="28"/>
        </w:rPr>
      </w:pPr>
      <w:r w:rsidRPr="000B77F8">
        <w:rPr>
          <w:sz w:val="28"/>
          <w:szCs w:val="28"/>
        </w:rPr>
        <w:t>Huzur hakkı hesaplanırken Gelir ve Damga vergisi kesintisi yapılır. Bir başka deyişle Gelir vergisi oranları 2023 senesi için aşağıdaki gibidir. Vergi hesaplanan tutarlar ve oranlar yıldan yıla değişebilir.</w:t>
      </w:r>
    </w:p>
    <w:p w:rsidR="00E345E4" w:rsidRPr="000B77F8" w:rsidRDefault="001A0E32" w:rsidP="000B77F8">
      <w:pPr>
        <w:spacing w:after="225" w:line="240" w:lineRule="auto"/>
        <w:jc w:val="both"/>
        <w:rPr>
          <w:rFonts w:ascii="Times New Roman" w:eastAsia="Times New Roman" w:hAnsi="Times New Roman" w:cs="Times New Roman"/>
          <w:color w:val="363C40"/>
          <w:sz w:val="28"/>
          <w:szCs w:val="28"/>
          <w:lang w:eastAsia="tr-TR"/>
        </w:rPr>
      </w:pPr>
      <w:r w:rsidRPr="000B77F8">
        <w:rPr>
          <w:rFonts w:ascii="Times New Roman" w:eastAsia="Times New Roman" w:hAnsi="Times New Roman" w:cs="Times New Roman"/>
          <w:color w:val="363C40"/>
          <w:sz w:val="28"/>
          <w:szCs w:val="28"/>
          <w:lang w:eastAsia="tr-TR"/>
        </w:rPr>
        <w:lastRenderedPageBreak/>
        <w:t xml:space="preserve">Huzur hakkı hesaplaması yapılırken öncelikle stopaj yani gelir vergisi ve ayrıca damga vergisi oranları düşülür. Çünkü huzur hakkı, vergilendirmeye tabi bir ödeme türüdür. Stopaj vergisinin kesintileri ise artan bir oran sistemine sahiptir. Huzur hakkı hesaplanırken öncelikle brüt ücret üzerinden stopaj oranının belirlenmesi gerekir. </w:t>
      </w:r>
    </w:p>
    <w:p w:rsidR="00E345E4" w:rsidRPr="000B77F8" w:rsidRDefault="00E345E4" w:rsidP="00E345E4">
      <w:pPr>
        <w:pStyle w:val="Balk2"/>
        <w:shd w:val="clear" w:color="auto" w:fill="FFFFFF"/>
        <w:spacing w:before="300" w:after="300"/>
        <w:rPr>
          <w:rFonts w:ascii="Times New Roman" w:hAnsi="Times New Roman" w:cs="Times New Roman"/>
          <w:bCs w:val="0"/>
          <w:color w:val="C00000"/>
          <w:sz w:val="28"/>
          <w:szCs w:val="28"/>
        </w:rPr>
      </w:pPr>
      <w:r w:rsidRPr="000B77F8">
        <w:rPr>
          <w:rFonts w:ascii="Times New Roman" w:hAnsi="Times New Roman" w:cs="Times New Roman"/>
          <w:bCs w:val="0"/>
          <w:color w:val="C00000"/>
          <w:sz w:val="28"/>
          <w:szCs w:val="28"/>
        </w:rPr>
        <w:t>2023 Yılı Gelir Vergisi Yükümlülüğü</w:t>
      </w:r>
    </w:p>
    <w:p w:rsidR="00E345E4" w:rsidRPr="000B77F8" w:rsidRDefault="00E345E4" w:rsidP="00E345E4">
      <w:pPr>
        <w:pStyle w:val="NormalWeb"/>
        <w:shd w:val="clear" w:color="auto" w:fill="FFFFFF"/>
        <w:spacing w:before="150" w:beforeAutospacing="0" w:after="150" w:afterAutospacing="0" w:line="450" w:lineRule="atLeast"/>
        <w:jc w:val="both"/>
        <w:rPr>
          <w:color w:val="2D2D2D"/>
          <w:sz w:val="28"/>
          <w:szCs w:val="28"/>
        </w:rPr>
      </w:pPr>
      <w:r w:rsidRPr="000B77F8">
        <w:rPr>
          <w:color w:val="2D2D2D"/>
          <w:sz w:val="28"/>
          <w:szCs w:val="28"/>
        </w:rPr>
        <w:t xml:space="preserve">193 Sayılı Gelir Vergisi Kanunu'nun 1'inci maddesi gereği, vergi yılı Türkiye'de takvim yılıdır ve takvim yılını takip eden bir </w:t>
      </w:r>
      <w:proofErr w:type="gramStart"/>
      <w:r w:rsidRPr="000B77F8">
        <w:rPr>
          <w:color w:val="2D2D2D"/>
          <w:sz w:val="28"/>
          <w:szCs w:val="28"/>
        </w:rPr>
        <w:t>kümülatif</w:t>
      </w:r>
      <w:proofErr w:type="gramEnd"/>
      <w:r w:rsidRPr="000B77F8">
        <w:rPr>
          <w:color w:val="2D2D2D"/>
          <w:sz w:val="28"/>
          <w:szCs w:val="28"/>
        </w:rPr>
        <w:t xml:space="preserve"> gelir vergisi sistemi mevcuttur. Uygulanacak vergi oranı, çalışanın yılbaşından ilgili güne kadarki </w:t>
      </w:r>
      <w:proofErr w:type="gramStart"/>
      <w:r w:rsidRPr="000B77F8">
        <w:rPr>
          <w:color w:val="2D2D2D"/>
          <w:sz w:val="28"/>
          <w:szCs w:val="28"/>
        </w:rPr>
        <w:t>kümülatif</w:t>
      </w:r>
      <w:proofErr w:type="gramEnd"/>
      <w:r w:rsidRPr="000B77F8">
        <w:rPr>
          <w:color w:val="2D2D2D"/>
          <w:sz w:val="28"/>
          <w:szCs w:val="28"/>
        </w:rPr>
        <w:t xml:space="preserve"> / toplam gelir vergisi matrahına göre belirlenir. Bu nedenle, çalışanların vergi oranı, </w:t>
      </w:r>
      <w:proofErr w:type="gramStart"/>
      <w:r w:rsidRPr="000B77F8">
        <w:rPr>
          <w:color w:val="2D2D2D"/>
          <w:sz w:val="28"/>
          <w:szCs w:val="28"/>
        </w:rPr>
        <w:t>kümülatif</w:t>
      </w:r>
      <w:proofErr w:type="gramEnd"/>
      <w:r w:rsidRPr="000B77F8">
        <w:rPr>
          <w:color w:val="2D2D2D"/>
          <w:sz w:val="28"/>
          <w:szCs w:val="28"/>
        </w:rPr>
        <w:t xml:space="preserve"> gelir vergisi matrahı arttıkça yıl boyunca artacaktır.</w:t>
      </w:r>
    </w:p>
    <w:p w:rsidR="00E345E4" w:rsidRPr="000B77F8" w:rsidRDefault="00E345E4" w:rsidP="00E345E4">
      <w:pPr>
        <w:pStyle w:val="NormalWeb"/>
        <w:shd w:val="clear" w:color="auto" w:fill="FFFFFF"/>
        <w:spacing w:before="150" w:beforeAutospacing="0" w:after="150" w:afterAutospacing="0" w:line="450" w:lineRule="atLeast"/>
        <w:jc w:val="both"/>
        <w:rPr>
          <w:color w:val="2D2D2D"/>
          <w:sz w:val="28"/>
          <w:szCs w:val="28"/>
        </w:rPr>
      </w:pPr>
      <w:r w:rsidRPr="000B77F8">
        <w:rPr>
          <w:color w:val="2D2D2D"/>
          <w:sz w:val="28"/>
          <w:szCs w:val="28"/>
        </w:rPr>
        <w:t>01 Ocak 2023 tarihi itibarıyla ücret hesaplamalarında kullanılacak gelir vergisi oranları 30.12.2022 tarihli ve 32059 sayılı 2. Mükerrer Resmî Gazete'de yayımlanan 323 seri numaralı Gelir Vergisi Genel Tebliği ile yürürlüğe girmiştir.</w:t>
      </w:r>
    </w:p>
    <w:p w:rsidR="00E345E4" w:rsidRPr="000B77F8" w:rsidRDefault="00E345E4" w:rsidP="00E345E4">
      <w:pPr>
        <w:pStyle w:val="NormalWeb"/>
        <w:shd w:val="clear" w:color="auto" w:fill="FFFFFF"/>
        <w:spacing w:before="150" w:beforeAutospacing="0" w:after="150" w:afterAutospacing="0" w:line="450" w:lineRule="atLeast"/>
        <w:jc w:val="both"/>
        <w:rPr>
          <w:color w:val="2D2D2D"/>
          <w:sz w:val="28"/>
          <w:szCs w:val="28"/>
        </w:rPr>
      </w:pPr>
      <w:r w:rsidRPr="000B77F8">
        <w:rPr>
          <w:color w:val="2D2D2D"/>
          <w:sz w:val="28"/>
          <w:szCs w:val="28"/>
        </w:rPr>
        <w:t>Bu güncellemeye göre 2023 yılı gelir vergisi tarifesi aşağıdaki şekildedir:</w:t>
      </w:r>
    </w:p>
    <w:tbl>
      <w:tblPr>
        <w:tblW w:w="5000" w:type="pct"/>
        <w:shd w:val="clear" w:color="auto" w:fill="FFFFFF"/>
        <w:tblCellMar>
          <w:top w:w="150" w:type="dxa"/>
          <w:left w:w="150" w:type="dxa"/>
          <w:bottom w:w="150" w:type="dxa"/>
          <w:right w:w="150" w:type="dxa"/>
        </w:tblCellMar>
        <w:tblLook w:val="04A0"/>
      </w:tblPr>
      <w:tblGrid>
        <w:gridCol w:w="3186"/>
        <w:gridCol w:w="3186"/>
        <w:gridCol w:w="2940"/>
      </w:tblGrid>
      <w:tr w:rsidR="00E345E4" w:rsidRPr="00E345E4" w:rsidTr="00E345E4">
        <w:tc>
          <w:tcPr>
            <w:tcW w:w="4223" w:type="dxa"/>
            <w:shd w:val="clear" w:color="auto" w:fill="F5F5F5"/>
            <w:tcMar>
              <w:top w:w="120" w:type="dxa"/>
              <w:left w:w="120" w:type="dxa"/>
              <w:bottom w:w="120" w:type="dxa"/>
              <w:right w:w="120" w:type="dxa"/>
            </w:tcMar>
            <w:vAlign w:val="center"/>
            <w:hideMark/>
          </w:tcPr>
          <w:p w:rsidR="00E345E4" w:rsidRPr="00E345E4" w:rsidRDefault="00E345E4">
            <w:pPr>
              <w:spacing w:line="360" w:lineRule="atLeast"/>
              <w:jc w:val="center"/>
              <w:rPr>
                <w:rFonts w:ascii="Times New Roman" w:hAnsi="Times New Roman" w:cs="Times New Roman"/>
                <w:b/>
                <w:bCs/>
                <w:color w:val="2D2D2D"/>
                <w:sz w:val="24"/>
                <w:szCs w:val="24"/>
              </w:rPr>
            </w:pPr>
            <w:r w:rsidRPr="00E345E4">
              <w:rPr>
                <w:rFonts w:ascii="Times New Roman" w:hAnsi="Times New Roman" w:cs="Times New Roman"/>
                <w:b/>
                <w:bCs/>
                <w:color w:val="2D2D2D"/>
                <w:sz w:val="24"/>
                <w:szCs w:val="24"/>
              </w:rPr>
              <w:t>Minimum</w:t>
            </w:r>
          </w:p>
        </w:tc>
        <w:tc>
          <w:tcPr>
            <w:tcW w:w="4223" w:type="dxa"/>
            <w:shd w:val="clear" w:color="auto" w:fill="F5F5F5"/>
            <w:tcMar>
              <w:top w:w="120" w:type="dxa"/>
              <w:left w:w="120" w:type="dxa"/>
              <w:bottom w:w="120" w:type="dxa"/>
              <w:right w:w="120" w:type="dxa"/>
            </w:tcMar>
            <w:vAlign w:val="center"/>
            <w:hideMark/>
          </w:tcPr>
          <w:p w:rsidR="00E345E4" w:rsidRPr="00E345E4" w:rsidRDefault="00E345E4">
            <w:pPr>
              <w:spacing w:line="360" w:lineRule="atLeast"/>
              <w:jc w:val="center"/>
              <w:rPr>
                <w:rFonts w:ascii="Times New Roman" w:hAnsi="Times New Roman" w:cs="Times New Roman"/>
                <w:b/>
                <w:bCs/>
                <w:color w:val="2D2D2D"/>
                <w:sz w:val="24"/>
                <w:szCs w:val="24"/>
              </w:rPr>
            </w:pPr>
            <w:r w:rsidRPr="00E345E4">
              <w:rPr>
                <w:rFonts w:ascii="Times New Roman" w:hAnsi="Times New Roman" w:cs="Times New Roman"/>
                <w:b/>
                <w:bCs/>
                <w:color w:val="2D2D2D"/>
                <w:sz w:val="24"/>
                <w:szCs w:val="24"/>
              </w:rPr>
              <w:t>Maksimum</w:t>
            </w:r>
          </w:p>
        </w:tc>
        <w:tc>
          <w:tcPr>
            <w:tcW w:w="4223" w:type="dxa"/>
            <w:shd w:val="clear" w:color="auto" w:fill="F5F5F5"/>
            <w:tcMar>
              <w:top w:w="120" w:type="dxa"/>
              <w:left w:w="120" w:type="dxa"/>
              <w:bottom w:w="120" w:type="dxa"/>
              <w:right w:w="120" w:type="dxa"/>
            </w:tcMar>
            <w:vAlign w:val="center"/>
            <w:hideMark/>
          </w:tcPr>
          <w:p w:rsidR="00E345E4" w:rsidRPr="00E345E4" w:rsidRDefault="00E345E4">
            <w:pPr>
              <w:spacing w:line="360" w:lineRule="atLeast"/>
              <w:jc w:val="center"/>
              <w:rPr>
                <w:rFonts w:ascii="Times New Roman" w:hAnsi="Times New Roman" w:cs="Times New Roman"/>
                <w:b/>
                <w:bCs/>
                <w:color w:val="2D2D2D"/>
                <w:sz w:val="24"/>
                <w:szCs w:val="24"/>
              </w:rPr>
            </w:pPr>
            <w:r w:rsidRPr="00E345E4">
              <w:rPr>
                <w:rFonts w:ascii="Times New Roman" w:hAnsi="Times New Roman" w:cs="Times New Roman"/>
                <w:b/>
                <w:bCs/>
                <w:color w:val="2D2D2D"/>
                <w:sz w:val="24"/>
                <w:szCs w:val="24"/>
              </w:rPr>
              <w:t>Vergi Oranı</w:t>
            </w:r>
          </w:p>
        </w:tc>
      </w:tr>
      <w:tr w:rsidR="00E345E4" w:rsidRPr="00E345E4" w:rsidTr="00E345E4">
        <w:tc>
          <w:tcPr>
            <w:tcW w:w="0" w:type="auto"/>
            <w:shd w:val="clear" w:color="auto" w:fill="FFFFFF"/>
            <w:tcMar>
              <w:top w:w="120" w:type="dxa"/>
              <w:left w:w="120" w:type="dxa"/>
              <w:bottom w:w="120" w:type="dxa"/>
              <w:right w:w="120" w:type="dxa"/>
            </w:tcMar>
            <w:vAlign w:val="center"/>
            <w:hideMark/>
          </w:tcPr>
          <w:p w:rsidR="00E345E4" w:rsidRPr="00E345E4" w:rsidRDefault="00E345E4">
            <w:pPr>
              <w:spacing w:line="360" w:lineRule="atLeast"/>
              <w:jc w:val="center"/>
              <w:rPr>
                <w:rFonts w:ascii="Times New Roman" w:hAnsi="Times New Roman" w:cs="Times New Roman"/>
                <w:color w:val="2D2D2D"/>
                <w:sz w:val="24"/>
                <w:szCs w:val="24"/>
              </w:rPr>
            </w:pPr>
            <w:r w:rsidRPr="00E345E4">
              <w:rPr>
                <w:rFonts w:ascii="Times New Roman" w:hAnsi="Times New Roman" w:cs="Times New Roman"/>
                <w:color w:val="2D2D2D"/>
                <w:sz w:val="24"/>
                <w:szCs w:val="24"/>
              </w:rPr>
              <w:t>0</w:t>
            </w:r>
          </w:p>
        </w:tc>
        <w:tc>
          <w:tcPr>
            <w:tcW w:w="0" w:type="auto"/>
            <w:shd w:val="clear" w:color="auto" w:fill="FFFFFF"/>
            <w:tcMar>
              <w:top w:w="120" w:type="dxa"/>
              <w:left w:w="120" w:type="dxa"/>
              <w:bottom w:w="120" w:type="dxa"/>
              <w:right w:w="120" w:type="dxa"/>
            </w:tcMar>
            <w:vAlign w:val="center"/>
            <w:hideMark/>
          </w:tcPr>
          <w:p w:rsidR="00E345E4" w:rsidRPr="00E345E4" w:rsidRDefault="00E345E4">
            <w:pPr>
              <w:spacing w:line="360" w:lineRule="atLeast"/>
              <w:jc w:val="center"/>
              <w:rPr>
                <w:rFonts w:ascii="Times New Roman" w:hAnsi="Times New Roman" w:cs="Times New Roman"/>
                <w:color w:val="2D2D2D"/>
                <w:sz w:val="24"/>
                <w:szCs w:val="24"/>
              </w:rPr>
            </w:pPr>
            <w:r w:rsidRPr="00E345E4">
              <w:rPr>
                <w:rFonts w:ascii="Times New Roman" w:hAnsi="Times New Roman" w:cs="Times New Roman"/>
                <w:color w:val="2D2D2D"/>
                <w:sz w:val="24"/>
                <w:szCs w:val="24"/>
              </w:rPr>
              <w:t>70.000,00</w:t>
            </w:r>
          </w:p>
        </w:tc>
        <w:tc>
          <w:tcPr>
            <w:tcW w:w="0" w:type="auto"/>
            <w:shd w:val="clear" w:color="auto" w:fill="FFFFFF"/>
            <w:tcMar>
              <w:top w:w="120" w:type="dxa"/>
              <w:left w:w="120" w:type="dxa"/>
              <w:bottom w:w="120" w:type="dxa"/>
              <w:right w:w="120" w:type="dxa"/>
            </w:tcMar>
            <w:vAlign w:val="center"/>
            <w:hideMark/>
          </w:tcPr>
          <w:p w:rsidR="00E345E4" w:rsidRPr="00E345E4" w:rsidRDefault="00E345E4">
            <w:pPr>
              <w:spacing w:line="360" w:lineRule="atLeast"/>
              <w:jc w:val="center"/>
              <w:rPr>
                <w:rFonts w:ascii="Times New Roman" w:hAnsi="Times New Roman" w:cs="Times New Roman"/>
                <w:color w:val="2D2D2D"/>
                <w:sz w:val="24"/>
                <w:szCs w:val="24"/>
              </w:rPr>
            </w:pPr>
            <w:r w:rsidRPr="00E345E4">
              <w:rPr>
                <w:rFonts w:ascii="Times New Roman" w:hAnsi="Times New Roman" w:cs="Times New Roman"/>
                <w:color w:val="2D2D2D"/>
                <w:sz w:val="24"/>
                <w:szCs w:val="24"/>
              </w:rPr>
              <w:t>%15</w:t>
            </w:r>
          </w:p>
        </w:tc>
      </w:tr>
      <w:tr w:rsidR="00E345E4" w:rsidRPr="00E345E4" w:rsidTr="00E345E4">
        <w:tc>
          <w:tcPr>
            <w:tcW w:w="0" w:type="auto"/>
            <w:shd w:val="clear" w:color="auto" w:fill="F5F5F5"/>
            <w:tcMar>
              <w:top w:w="120" w:type="dxa"/>
              <w:left w:w="120" w:type="dxa"/>
              <w:bottom w:w="120" w:type="dxa"/>
              <w:right w:w="120" w:type="dxa"/>
            </w:tcMar>
            <w:vAlign w:val="center"/>
            <w:hideMark/>
          </w:tcPr>
          <w:p w:rsidR="00E345E4" w:rsidRPr="00E345E4" w:rsidRDefault="00E345E4">
            <w:pPr>
              <w:spacing w:line="360" w:lineRule="atLeast"/>
              <w:jc w:val="center"/>
              <w:rPr>
                <w:rFonts w:ascii="Times New Roman" w:hAnsi="Times New Roman" w:cs="Times New Roman"/>
                <w:color w:val="2D2D2D"/>
                <w:sz w:val="24"/>
                <w:szCs w:val="24"/>
              </w:rPr>
            </w:pPr>
            <w:r w:rsidRPr="00E345E4">
              <w:rPr>
                <w:rFonts w:ascii="Times New Roman" w:hAnsi="Times New Roman" w:cs="Times New Roman"/>
                <w:color w:val="2D2D2D"/>
                <w:sz w:val="24"/>
                <w:szCs w:val="24"/>
              </w:rPr>
              <w:t>70.000,01</w:t>
            </w:r>
          </w:p>
        </w:tc>
        <w:tc>
          <w:tcPr>
            <w:tcW w:w="0" w:type="auto"/>
            <w:shd w:val="clear" w:color="auto" w:fill="F5F5F5"/>
            <w:tcMar>
              <w:top w:w="120" w:type="dxa"/>
              <w:left w:w="120" w:type="dxa"/>
              <w:bottom w:w="120" w:type="dxa"/>
              <w:right w:w="120" w:type="dxa"/>
            </w:tcMar>
            <w:vAlign w:val="center"/>
            <w:hideMark/>
          </w:tcPr>
          <w:p w:rsidR="00E345E4" w:rsidRPr="00E345E4" w:rsidRDefault="00E345E4">
            <w:pPr>
              <w:spacing w:line="360" w:lineRule="atLeast"/>
              <w:jc w:val="center"/>
              <w:rPr>
                <w:rFonts w:ascii="Times New Roman" w:hAnsi="Times New Roman" w:cs="Times New Roman"/>
                <w:color w:val="2D2D2D"/>
                <w:sz w:val="24"/>
                <w:szCs w:val="24"/>
              </w:rPr>
            </w:pPr>
            <w:r w:rsidRPr="00E345E4">
              <w:rPr>
                <w:rFonts w:ascii="Times New Roman" w:hAnsi="Times New Roman" w:cs="Times New Roman"/>
                <w:color w:val="2D2D2D"/>
                <w:sz w:val="24"/>
                <w:szCs w:val="24"/>
              </w:rPr>
              <w:t>150.000,00</w:t>
            </w:r>
          </w:p>
        </w:tc>
        <w:tc>
          <w:tcPr>
            <w:tcW w:w="0" w:type="auto"/>
            <w:shd w:val="clear" w:color="auto" w:fill="F5F5F5"/>
            <w:tcMar>
              <w:top w:w="120" w:type="dxa"/>
              <w:left w:w="120" w:type="dxa"/>
              <w:bottom w:w="120" w:type="dxa"/>
              <w:right w:w="120" w:type="dxa"/>
            </w:tcMar>
            <w:vAlign w:val="center"/>
            <w:hideMark/>
          </w:tcPr>
          <w:p w:rsidR="00E345E4" w:rsidRPr="00E345E4" w:rsidRDefault="00E345E4">
            <w:pPr>
              <w:spacing w:line="360" w:lineRule="atLeast"/>
              <w:jc w:val="center"/>
              <w:rPr>
                <w:rFonts w:ascii="Times New Roman" w:hAnsi="Times New Roman" w:cs="Times New Roman"/>
                <w:color w:val="2D2D2D"/>
                <w:sz w:val="24"/>
                <w:szCs w:val="24"/>
              </w:rPr>
            </w:pPr>
            <w:r w:rsidRPr="00E345E4">
              <w:rPr>
                <w:rFonts w:ascii="Times New Roman" w:hAnsi="Times New Roman" w:cs="Times New Roman"/>
                <w:color w:val="2D2D2D"/>
                <w:sz w:val="24"/>
                <w:szCs w:val="24"/>
              </w:rPr>
              <w:t>%20</w:t>
            </w:r>
          </w:p>
        </w:tc>
      </w:tr>
      <w:tr w:rsidR="00E345E4" w:rsidRPr="00E345E4" w:rsidTr="00E345E4">
        <w:tc>
          <w:tcPr>
            <w:tcW w:w="0" w:type="auto"/>
            <w:shd w:val="clear" w:color="auto" w:fill="FFFFFF"/>
            <w:tcMar>
              <w:top w:w="120" w:type="dxa"/>
              <w:left w:w="120" w:type="dxa"/>
              <w:bottom w:w="120" w:type="dxa"/>
              <w:right w:w="120" w:type="dxa"/>
            </w:tcMar>
            <w:vAlign w:val="center"/>
            <w:hideMark/>
          </w:tcPr>
          <w:p w:rsidR="00E345E4" w:rsidRPr="00E345E4" w:rsidRDefault="00E345E4">
            <w:pPr>
              <w:spacing w:line="360" w:lineRule="atLeast"/>
              <w:jc w:val="center"/>
              <w:rPr>
                <w:rFonts w:ascii="Times New Roman" w:hAnsi="Times New Roman" w:cs="Times New Roman"/>
                <w:color w:val="2D2D2D"/>
                <w:sz w:val="24"/>
                <w:szCs w:val="24"/>
              </w:rPr>
            </w:pPr>
            <w:r w:rsidRPr="00E345E4">
              <w:rPr>
                <w:rFonts w:ascii="Times New Roman" w:hAnsi="Times New Roman" w:cs="Times New Roman"/>
                <w:color w:val="2D2D2D"/>
                <w:sz w:val="24"/>
                <w:szCs w:val="24"/>
              </w:rPr>
              <w:t>150.000,01</w:t>
            </w:r>
          </w:p>
        </w:tc>
        <w:tc>
          <w:tcPr>
            <w:tcW w:w="0" w:type="auto"/>
            <w:shd w:val="clear" w:color="auto" w:fill="FFFFFF"/>
            <w:tcMar>
              <w:top w:w="120" w:type="dxa"/>
              <w:left w:w="120" w:type="dxa"/>
              <w:bottom w:w="120" w:type="dxa"/>
              <w:right w:w="120" w:type="dxa"/>
            </w:tcMar>
            <w:vAlign w:val="center"/>
            <w:hideMark/>
          </w:tcPr>
          <w:p w:rsidR="00E345E4" w:rsidRPr="00E345E4" w:rsidRDefault="00E345E4">
            <w:pPr>
              <w:spacing w:line="360" w:lineRule="atLeast"/>
              <w:jc w:val="center"/>
              <w:rPr>
                <w:rFonts w:ascii="Times New Roman" w:hAnsi="Times New Roman" w:cs="Times New Roman"/>
                <w:color w:val="2D2D2D"/>
                <w:sz w:val="24"/>
                <w:szCs w:val="24"/>
              </w:rPr>
            </w:pPr>
            <w:r w:rsidRPr="00E345E4">
              <w:rPr>
                <w:rFonts w:ascii="Times New Roman" w:hAnsi="Times New Roman" w:cs="Times New Roman"/>
                <w:color w:val="2D2D2D"/>
                <w:sz w:val="24"/>
                <w:szCs w:val="24"/>
              </w:rPr>
              <w:t>550.000,00</w:t>
            </w:r>
          </w:p>
        </w:tc>
        <w:tc>
          <w:tcPr>
            <w:tcW w:w="0" w:type="auto"/>
            <w:shd w:val="clear" w:color="auto" w:fill="FFFFFF"/>
            <w:tcMar>
              <w:top w:w="120" w:type="dxa"/>
              <w:left w:w="120" w:type="dxa"/>
              <w:bottom w:w="120" w:type="dxa"/>
              <w:right w:w="120" w:type="dxa"/>
            </w:tcMar>
            <w:vAlign w:val="center"/>
            <w:hideMark/>
          </w:tcPr>
          <w:p w:rsidR="00E345E4" w:rsidRPr="00E345E4" w:rsidRDefault="00E345E4">
            <w:pPr>
              <w:spacing w:line="360" w:lineRule="atLeast"/>
              <w:jc w:val="center"/>
              <w:rPr>
                <w:rFonts w:ascii="Times New Roman" w:hAnsi="Times New Roman" w:cs="Times New Roman"/>
                <w:color w:val="2D2D2D"/>
                <w:sz w:val="24"/>
                <w:szCs w:val="24"/>
              </w:rPr>
            </w:pPr>
            <w:r w:rsidRPr="00E345E4">
              <w:rPr>
                <w:rFonts w:ascii="Times New Roman" w:hAnsi="Times New Roman" w:cs="Times New Roman"/>
                <w:color w:val="2D2D2D"/>
                <w:sz w:val="24"/>
                <w:szCs w:val="24"/>
              </w:rPr>
              <w:t>%27</w:t>
            </w:r>
          </w:p>
        </w:tc>
      </w:tr>
      <w:tr w:rsidR="00E345E4" w:rsidRPr="00E345E4" w:rsidTr="00E345E4">
        <w:tc>
          <w:tcPr>
            <w:tcW w:w="0" w:type="auto"/>
            <w:shd w:val="clear" w:color="auto" w:fill="F5F5F5"/>
            <w:tcMar>
              <w:top w:w="120" w:type="dxa"/>
              <w:left w:w="120" w:type="dxa"/>
              <w:bottom w:w="120" w:type="dxa"/>
              <w:right w:w="120" w:type="dxa"/>
            </w:tcMar>
            <w:vAlign w:val="center"/>
            <w:hideMark/>
          </w:tcPr>
          <w:p w:rsidR="00E345E4" w:rsidRPr="00E345E4" w:rsidRDefault="00E345E4">
            <w:pPr>
              <w:spacing w:line="360" w:lineRule="atLeast"/>
              <w:jc w:val="center"/>
              <w:rPr>
                <w:rFonts w:ascii="Times New Roman" w:hAnsi="Times New Roman" w:cs="Times New Roman"/>
                <w:color w:val="2D2D2D"/>
                <w:sz w:val="24"/>
                <w:szCs w:val="24"/>
              </w:rPr>
            </w:pPr>
            <w:r w:rsidRPr="00E345E4">
              <w:rPr>
                <w:rFonts w:ascii="Times New Roman" w:hAnsi="Times New Roman" w:cs="Times New Roman"/>
                <w:color w:val="2D2D2D"/>
                <w:sz w:val="24"/>
                <w:szCs w:val="24"/>
              </w:rPr>
              <w:t>550.000,01</w:t>
            </w:r>
          </w:p>
        </w:tc>
        <w:tc>
          <w:tcPr>
            <w:tcW w:w="0" w:type="auto"/>
            <w:shd w:val="clear" w:color="auto" w:fill="F5F5F5"/>
            <w:tcMar>
              <w:top w:w="120" w:type="dxa"/>
              <w:left w:w="120" w:type="dxa"/>
              <w:bottom w:w="120" w:type="dxa"/>
              <w:right w:w="120" w:type="dxa"/>
            </w:tcMar>
            <w:vAlign w:val="center"/>
            <w:hideMark/>
          </w:tcPr>
          <w:p w:rsidR="00E345E4" w:rsidRPr="00E345E4" w:rsidRDefault="00E345E4">
            <w:pPr>
              <w:spacing w:line="360" w:lineRule="atLeast"/>
              <w:jc w:val="center"/>
              <w:rPr>
                <w:rFonts w:ascii="Times New Roman" w:hAnsi="Times New Roman" w:cs="Times New Roman"/>
                <w:color w:val="2D2D2D"/>
                <w:sz w:val="24"/>
                <w:szCs w:val="24"/>
              </w:rPr>
            </w:pPr>
            <w:r w:rsidRPr="00E345E4">
              <w:rPr>
                <w:rFonts w:ascii="Times New Roman" w:hAnsi="Times New Roman" w:cs="Times New Roman"/>
                <w:color w:val="2D2D2D"/>
                <w:sz w:val="24"/>
                <w:szCs w:val="24"/>
              </w:rPr>
              <w:t>1.900.000,00</w:t>
            </w:r>
          </w:p>
        </w:tc>
        <w:tc>
          <w:tcPr>
            <w:tcW w:w="0" w:type="auto"/>
            <w:shd w:val="clear" w:color="auto" w:fill="F5F5F5"/>
            <w:tcMar>
              <w:top w:w="120" w:type="dxa"/>
              <w:left w:w="120" w:type="dxa"/>
              <w:bottom w:w="120" w:type="dxa"/>
              <w:right w:w="120" w:type="dxa"/>
            </w:tcMar>
            <w:vAlign w:val="center"/>
            <w:hideMark/>
          </w:tcPr>
          <w:p w:rsidR="00E345E4" w:rsidRPr="00E345E4" w:rsidRDefault="00E345E4">
            <w:pPr>
              <w:spacing w:line="360" w:lineRule="atLeast"/>
              <w:jc w:val="center"/>
              <w:rPr>
                <w:rFonts w:ascii="Times New Roman" w:hAnsi="Times New Roman" w:cs="Times New Roman"/>
                <w:color w:val="2D2D2D"/>
                <w:sz w:val="24"/>
                <w:szCs w:val="24"/>
              </w:rPr>
            </w:pPr>
            <w:r w:rsidRPr="00E345E4">
              <w:rPr>
                <w:rFonts w:ascii="Times New Roman" w:hAnsi="Times New Roman" w:cs="Times New Roman"/>
                <w:color w:val="2D2D2D"/>
                <w:sz w:val="24"/>
                <w:szCs w:val="24"/>
              </w:rPr>
              <w:t>%35</w:t>
            </w:r>
          </w:p>
        </w:tc>
      </w:tr>
      <w:tr w:rsidR="00E345E4" w:rsidRPr="00E345E4" w:rsidTr="00E345E4">
        <w:tc>
          <w:tcPr>
            <w:tcW w:w="0" w:type="auto"/>
            <w:shd w:val="clear" w:color="auto" w:fill="FFFFFF"/>
            <w:tcMar>
              <w:top w:w="120" w:type="dxa"/>
              <w:left w:w="120" w:type="dxa"/>
              <w:bottom w:w="120" w:type="dxa"/>
              <w:right w:w="120" w:type="dxa"/>
            </w:tcMar>
            <w:vAlign w:val="center"/>
            <w:hideMark/>
          </w:tcPr>
          <w:p w:rsidR="00E345E4" w:rsidRPr="00E345E4" w:rsidRDefault="00E345E4">
            <w:pPr>
              <w:spacing w:line="360" w:lineRule="atLeast"/>
              <w:jc w:val="center"/>
              <w:rPr>
                <w:rFonts w:ascii="Times New Roman" w:hAnsi="Times New Roman" w:cs="Times New Roman"/>
                <w:color w:val="2D2D2D"/>
                <w:sz w:val="24"/>
                <w:szCs w:val="24"/>
              </w:rPr>
            </w:pPr>
            <w:r w:rsidRPr="00E345E4">
              <w:rPr>
                <w:rFonts w:ascii="Times New Roman" w:hAnsi="Times New Roman" w:cs="Times New Roman"/>
                <w:color w:val="2D2D2D"/>
                <w:sz w:val="24"/>
                <w:szCs w:val="24"/>
              </w:rPr>
              <w:t>1.900.000,01 ve fazlası</w:t>
            </w:r>
          </w:p>
        </w:tc>
        <w:tc>
          <w:tcPr>
            <w:tcW w:w="0" w:type="auto"/>
            <w:shd w:val="clear" w:color="auto" w:fill="FFFFFF"/>
            <w:tcMar>
              <w:top w:w="120" w:type="dxa"/>
              <w:left w:w="120" w:type="dxa"/>
              <w:bottom w:w="120" w:type="dxa"/>
              <w:right w:w="120" w:type="dxa"/>
            </w:tcMar>
            <w:vAlign w:val="center"/>
            <w:hideMark/>
          </w:tcPr>
          <w:p w:rsidR="00E345E4" w:rsidRPr="00E345E4" w:rsidRDefault="00E345E4">
            <w:pPr>
              <w:spacing w:line="360" w:lineRule="atLeast"/>
              <w:jc w:val="center"/>
              <w:rPr>
                <w:rFonts w:ascii="Times New Roman" w:hAnsi="Times New Roman" w:cs="Times New Roman"/>
                <w:color w:val="2D2D2D"/>
                <w:sz w:val="24"/>
                <w:szCs w:val="24"/>
              </w:rPr>
            </w:pPr>
            <w:r w:rsidRPr="00E345E4">
              <w:rPr>
                <w:rFonts w:ascii="Times New Roman" w:hAnsi="Times New Roman" w:cs="Times New Roman"/>
                <w:color w:val="2D2D2D"/>
                <w:sz w:val="24"/>
                <w:szCs w:val="24"/>
              </w:rPr>
              <w:t> </w:t>
            </w:r>
          </w:p>
        </w:tc>
        <w:tc>
          <w:tcPr>
            <w:tcW w:w="0" w:type="auto"/>
            <w:shd w:val="clear" w:color="auto" w:fill="FFFFFF"/>
            <w:tcMar>
              <w:top w:w="120" w:type="dxa"/>
              <w:left w:w="120" w:type="dxa"/>
              <w:bottom w:w="120" w:type="dxa"/>
              <w:right w:w="120" w:type="dxa"/>
            </w:tcMar>
            <w:vAlign w:val="center"/>
            <w:hideMark/>
          </w:tcPr>
          <w:p w:rsidR="00E345E4" w:rsidRPr="00E345E4" w:rsidRDefault="00E345E4">
            <w:pPr>
              <w:spacing w:line="360" w:lineRule="atLeast"/>
              <w:jc w:val="center"/>
              <w:rPr>
                <w:rFonts w:ascii="Times New Roman" w:hAnsi="Times New Roman" w:cs="Times New Roman"/>
                <w:color w:val="2D2D2D"/>
                <w:sz w:val="24"/>
                <w:szCs w:val="24"/>
              </w:rPr>
            </w:pPr>
            <w:r w:rsidRPr="00E345E4">
              <w:rPr>
                <w:rFonts w:ascii="Times New Roman" w:hAnsi="Times New Roman" w:cs="Times New Roman"/>
                <w:color w:val="2D2D2D"/>
                <w:sz w:val="24"/>
                <w:szCs w:val="24"/>
              </w:rPr>
              <w:t>%40</w:t>
            </w:r>
          </w:p>
        </w:tc>
      </w:tr>
    </w:tbl>
    <w:p w:rsidR="00E345E4" w:rsidRPr="002B740F" w:rsidRDefault="00E345E4" w:rsidP="00E345E4">
      <w:pPr>
        <w:pStyle w:val="Balk2"/>
        <w:shd w:val="clear" w:color="auto" w:fill="FFFFFF"/>
        <w:spacing w:before="300" w:after="300"/>
        <w:rPr>
          <w:rFonts w:ascii="Times New Roman" w:hAnsi="Times New Roman" w:cs="Times New Roman"/>
          <w:bCs w:val="0"/>
          <w:color w:val="2D2D2D"/>
          <w:sz w:val="28"/>
          <w:szCs w:val="28"/>
        </w:rPr>
      </w:pPr>
      <w:r w:rsidRPr="002B740F">
        <w:rPr>
          <w:rFonts w:ascii="Times New Roman" w:hAnsi="Times New Roman" w:cs="Times New Roman"/>
          <w:bCs w:val="0"/>
          <w:color w:val="2D2D2D"/>
          <w:sz w:val="28"/>
          <w:szCs w:val="28"/>
        </w:rPr>
        <w:t>2023 Gelir Vergisi İstisnası</w:t>
      </w:r>
    </w:p>
    <w:p w:rsidR="00E345E4" w:rsidRPr="002B740F" w:rsidRDefault="00E345E4" w:rsidP="00E345E4">
      <w:pPr>
        <w:pStyle w:val="NormalWeb"/>
        <w:shd w:val="clear" w:color="auto" w:fill="FFFFFF"/>
        <w:spacing w:before="150" w:beforeAutospacing="0" w:after="150" w:afterAutospacing="0" w:line="450" w:lineRule="atLeast"/>
        <w:jc w:val="both"/>
        <w:rPr>
          <w:color w:val="2D2D2D"/>
          <w:sz w:val="28"/>
          <w:szCs w:val="28"/>
        </w:rPr>
      </w:pPr>
      <w:r w:rsidRPr="002B740F">
        <w:rPr>
          <w:color w:val="2D2D2D"/>
          <w:sz w:val="28"/>
          <w:szCs w:val="28"/>
        </w:rPr>
        <w:t>2022 yılında getirilen tüm ücretler için asgari ücret üzerinden hesaplanan gelir vergisi kesinti tutarı kadar gelir vergisi istisnası 2023 yılında da devam edecektir.</w:t>
      </w:r>
    </w:p>
    <w:p w:rsidR="00E345E4" w:rsidRPr="002B740F" w:rsidRDefault="00E345E4" w:rsidP="00E345E4">
      <w:pPr>
        <w:pStyle w:val="Balk2"/>
        <w:shd w:val="clear" w:color="auto" w:fill="FFFFFF"/>
        <w:spacing w:before="300" w:after="300"/>
        <w:rPr>
          <w:rFonts w:ascii="Times New Roman" w:hAnsi="Times New Roman" w:cs="Times New Roman"/>
          <w:bCs w:val="0"/>
          <w:color w:val="2D2D2D"/>
          <w:sz w:val="28"/>
          <w:szCs w:val="28"/>
        </w:rPr>
      </w:pPr>
      <w:r w:rsidRPr="002B740F">
        <w:rPr>
          <w:rFonts w:ascii="Times New Roman" w:hAnsi="Times New Roman" w:cs="Times New Roman"/>
          <w:bCs w:val="0"/>
          <w:color w:val="2D2D2D"/>
          <w:sz w:val="28"/>
          <w:szCs w:val="28"/>
        </w:rPr>
        <w:t>Damga Vergisi Oranı</w:t>
      </w:r>
    </w:p>
    <w:p w:rsidR="00E345E4" w:rsidRPr="002B740F" w:rsidRDefault="00E345E4" w:rsidP="00E345E4">
      <w:pPr>
        <w:pStyle w:val="NormalWeb"/>
        <w:shd w:val="clear" w:color="auto" w:fill="FFFFFF"/>
        <w:spacing w:before="150" w:beforeAutospacing="0" w:after="150" w:afterAutospacing="0" w:line="450" w:lineRule="atLeast"/>
        <w:jc w:val="both"/>
        <w:rPr>
          <w:color w:val="2D2D2D"/>
          <w:sz w:val="28"/>
          <w:szCs w:val="28"/>
        </w:rPr>
      </w:pPr>
      <w:r w:rsidRPr="002B740F">
        <w:rPr>
          <w:color w:val="2D2D2D"/>
          <w:sz w:val="28"/>
          <w:szCs w:val="28"/>
        </w:rPr>
        <w:t>Damga vergisi, bordro üzerindeki toplam ücret gelirlerine uygulanır. Uygulanan oran 01.01.2015 itibarıyla yüzde 0,759'dur.</w:t>
      </w:r>
    </w:p>
    <w:p w:rsidR="00E345E4" w:rsidRPr="002B740F" w:rsidRDefault="00E345E4" w:rsidP="00E345E4">
      <w:pPr>
        <w:pStyle w:val="NormalWeb"/>
        <w:shd w:val="clear" w:color="auto" w:fill="FFFFFF"/>
        <w:spacing w:before="150" w:beforeAutospacing="0" w:after="150" w:afterAutospacing="0" w:line="450" w:lineRule="atLeast"/>
        <w:jc w:val="both"/>
        <w:rPr>
          <w:color w:val="2D2D2D"/>
          <w:sz w:val="28"/>
          <w:szCs w:val="28"/>
        </w:rPr>
      </w:pPr>
      <w:r w:rsidRPr="002B740F">
        <w:rPr>
          <w:color w:val="2D2D2D"/>
          <w:sz w:val="28"/>
          <w:szCs w:val="28"/>
        </w:rPr>
        <w:t>Damga vergisi matrahı, toplam brüt ücrettir ve bu tutar üzerinden ilgili oran uygulanarak hesaplanır.</w:t>
      </w:r>
    </w:p>
    <w:p w:rsidR="00E345E4" w:rsidRPr="002B740F" w:rsidRDefault="00E345E4" w:rsidP="00E345E4">
      <w:pPr>
        <w:pStyle w:val="NormalWeb"/>
        <w:shd w:val="clear" w:color="auto" w:fill="FFFFFF"/>
        <w:spacing w:before="150" w:beforeAutospacing="0" w:after="150" w:afterAutospacing="0" w:line="450" w:lineRule="atLeast"/>
        <w:jc w:val="both"/>
        <w:rPr>
          <w:color w:val="2D2D2D"/>
          <w:sz w:val="28"/>
          <w:szCs w:val="28"/>
        </w:rPr>
      </w:pPr>
      <w:r w:rsidRPr="002B740F">
        <w:rPr>
          <w:color w:val="2D2D2D"/>
          <w:sz w:val="28"/>
          <w:szCs w:val="28"/>
        </w:rPr>
        <w:t xml:space="preserve">2022 yılında getirilen tüm ücretlerin asgari ücret düzeyine </w:t>
      </w:r>
      <w:proofErr w:type="spellStart"/>
      <w:r w:rsidRPr="002B740F">
        <w:rPr>
          <w:color w:val="2D2D2D"/>
          <w:sz w:val="28"/>
          <w:szCs w:val="28"/>
        </w:rPr>
        <w:t>kadarlık</w:t>
      </w:r>
      <w:proofErr w:type="spellEnd"/>
      <w:r w:rsidRPr="002B740F">
        <w:rPr>
          <w:color w:val="2D2D2D"/>
          <w:sz w:val="28"/>
          <w:szCs w:val="28"/>
        </w:rPr>
        <w:t xml:space="preserve"> kısmı için damga vergisi istisnası 2023 yılında da devam edecektir.</w:t>
      </w:r>
    </w:p>
    <w:p w:rsidR="001A0E32" w:rsidRPr="001A0E32" w:rsidRDefault="001A0E32" w:rsidP="001A0E32">
      <w:pPr>
        <w:spacing w:after="225" w:line="240" w:lineRule="auto"/>
        <w:jc w:val="both"/>
        <w:rPr>
          <w:rFonts w:ascii="Times New Roman" w:eastAsia="Times New Roman" w:hAnsi="Times New Roman" w:cs="Times New Roman"/>
          <w:color w:val="363C40"/>
          <w:sz w:val="28"/>
          <w:szCs w:val="28"/>
          <w:lang w:eastAsia="tr-TR"/>
        </w:rPr>
      </w:pPr>
      <w:r w:rsidRPr="001A0E32">
        <w:rPr>
          <w:rFonts w:ascii="Times New Roman" w:eastAsia="Times New Roman" w:hAnsi="Times New Roman" w:cs="Times New Roman"/>
          <w:color w:val="363C40"/>
          <w:sz w:val="28"/>
          <w:szCs w:val="28"/>
          <w:lang w:eastAsia="tr-TR"/>
        </w:rPr>
        <w:t>Stopaj vergisinin hesaplanmasından sonra damga vergisinin de hesaplanması</w:t>
      </w:r>
      <w:r w:rsidR="004368A2">
        <w:rPr>
          <w:rFonts w:ascii="Times New Roman" w:eastAsia="Times New Roman" w:hAnsi="Times New Roman" w:cs="Times New Roman"/>
          <w:color w:val="363C40"/>
          <w:sz w:val="28"/>
          <w:szCs w:val="28"/>
          <w:lang w:eastAsia="tr-TR"/>
        </w:rPr>
        <w:t xml:space="preserve"> gerekir. Damga vergisi ise 2023 </w:t>
      </w:r>
      <w:r w:rsidRPr="001A0E32">
        <w:rPr>
          <w:rFonts w:ascii="Times New Roman" w:eastAsia="Times New Roman" w:hAnsi="Times New Roman" w:cs="Times New Roman"/>
          <w:color w:val="363C40"/>
          <w:sz w:val="28"/>
          <w:szCs w:val="28"/>
          <w:lang w:eastAsia="tr-TR"/>
        </w:rPr>
        <w:t>yılı itibariyle binde 9,48 oranındadır. Vergilerin hesaplanması sonucunda ortaya çıkan rakam huzur hakkını verecektir.</w:t>
      </w:r>
    </w:p>
    <w:p w:rsidR="001A0E32" w:rsidRPr="001A0E32" w:rsidRDefault="001A0E32" w:rsidP="001A0E32">
      <w:pPr>
        <w:spacing w:beforeAutospacing="1" w:after="0" w:afterAutospacing="1" w:line="240" w:lineRule="auto"/>
        <w:jc w:val="both"/>
        <w:outlineLvl w:val="1"/>
        <w:rPr>
          <w:rFonts w:ascii="Times New Roman" w:eastAsia="Times New Roman" w:hAnsi="Times New Roman" w:cs="Times New Roman"/>
          <w:color w:val="363C40"/>
          <w:sz w:val="28"/>
          <w:szCs w:val="28"/>
          <w:lang w:eastAsia="tr-TR"/>
        </w:rPr>
      </w:pPr>
      <w:r w:rsidRPr="001A0E32">
        <w:rPr>
          <w:rFonts w:ascii="Times New Roman" w:eastAsia="Times New Roman" w:hAnsi="Times New Roman" w:cs="Times New Roman"/>
          <w:b/>
          <w:bCs/>
          <w:color w:val="363C40"/>
          <w:sz w:val="28"/>
          <w:szCs w:val="28"/>
          <w:lang w:eastAsia="tr-TR"/>
        </w:rPr>
        <w:t>Huzur Hakkı Hesaplarken Nelere Dikkat</w:t>
      </w:r>
      <w:r>
        <w:rPr>
          <w:rFonts w:ascii="Times New Roman" w:eastAsia="Times New Roman" w:hAnsi="Times New Roman" w:cs="Times New Roman"/>
          <w:b/>
          <w:bCs/>
          <w:color w:val="363C40"/>
          <w:sz w:val="28"/>
          <w:szCs w:val="28"/>
          <w:lang w:eastAsia="tr-TR"/>
        </w:rPr>
        <w:t xml:space="preserve"> </w:t>
      </w:r>
      <w:r w:rsidRPr="001A0E32">
        <w:rPr>
          <w:rFonts w:ascii="Times New Roman" w:eastAsia="Times New Roman" w:hAnsi="Times New Roman" w:cs="Times New Roman"/>
          <w:b/>
          <w:bCs/>
          <w:color w:val="363C40"/>
          <w:sz w:val="28"/>
          <w:szCs w:val="28"/>
          <w:lang w:eastAsia="tr-TR"/>
        </w:rPr>
        <w:t>Edilir?</w:t>
      </w:r>
    </w:p>
    <w:p w:rsidR="001A0E32" w:rsidRPr="001A0E32" w:rsidRDefault="001A0E32" w:rsidP="001A0E32">
      <w:pPr>
        <w:spacing w:after="225" w:line="240" w:lineRule="auto"/>
        <w:jc w:val="both"/>
        <w:rPr>
          <w:rFonts w:ascii="Times New Roman" w:eastAsia="Times New Roman" w:hAnsi="Times New Roman" w:cs="Times New Roman"/>
          <w:color w:val="363C40"/>
          <w:sz w:val="28"/>
          <w:szCs w:val="28"/>
          <w:lang w:eastAsia="tr-TR"/>
        </w:rPr>
      </w:pPr>
      <w:r w:rsidRPr="001A0E32">
        <w:rPr>
          <w:rFonts w:ascii="Times New Roman" w:eastAsia="Times New Roman" w:hAnsi="Times New Roman" w:cs="Times New Roman"/>
          <w:color w:val="363C40"/>
          <w:sz w:val="28"/>
          <w:szCs w:val="28"/>
          <w:lang w:eastAsia="tr-TR"/>
        </w:rPr>
        <w:t>Huzur hakkı hesaplarken dikkat edilmesi gereken hususların başında bordro gelir. Huzur hakkı, ücret sınıfına giren bir ödeme türü olduğundan dolayı asgari geçim indirimi kapsamındadır fakat sigorta primi kapsamında değildir. Bu sebeple huzur hakkı ödemeleri için bordro düzenlenmesi bir zorunluluktur. Öte yandan huzur hakkı kapsamında yapılacak ödemelerin, söz konusu şirketin mali yapısı ile uyumlu ve kabul edilebilir olması önemlidir. Bu durumun aksi bir şekilde, ilgili şirketin mali yapısı ile uyumlu olmayan, uygunsuz ve şüphe uyandıran huzur hakkı ödemeleri yasal olarak örtülü kazanç elde etmekle itham edilebilir ve bu kapsamda maddi cezanın yanı sıra farklı yasal işlemlerle karşılaşılabilir.</w:t>
      </w:r>
    </w:p>
    <w:p w:rsidR="001A0E32" w:rsidRPr="001A0E32" w:rsidRDefault="001A0E32" w:rsidP="001A0E32">
      <w:pPr>
        <w:spacing w:beforeAutospacing="1" w:after="0" w:afterAutospacing="1" w:line="240" w:lineRule="auto"/>
        <w:jc w:val="both"/>
        <w:outlineLvl w:val="1"/>
        <w:rPr>
          <w:rFonts w:ascii="Times New Roman" w:eastAsia="Times New Roman" w:hAnsi="Times New Roman" w:cs="Times New Roman"/>
          <w:color w:val="363C40"/>
          <w:sz w:val="28"/>
          <w:szCs w:val="28"/>
          <w:lang w:eastAsia="tr-TR"/>
        </w:rPr>
      </w:pPr>
      <w:r w:rsidRPr="001A0E32">
        <w:rPr>
          <w:rFonts w:ascii="Times New Roman" w:eastAsia="Times New Roman" w:hAnsi="Times New Roman" w:cs="Times New Roman"/>
          <w:b/>
          <w:bCs/>
          <w:color w:val="363C40"/>
          <w:sz w:val="28"/>
          <w:szCs w:val="28"/>
          <w:lang w:eastAsia="tr-TR"/>
        </w:rPr>
        <w:t>Huzur Hakkının Vergilendirmesi</w:t>
      </w:r>
    </w:p>
    <w:p w:rsidR="000B77F8" w:rsidRPr="00843A27" w:rsidRDefault="001A0E32" w:rsidP="00843A27">
      <w:pPr>
        <w:spacing w:after="225" w:line="240" w:lineRule="auto"/>
        <w:jc w:val="both"/>
        <w:rPr>
          <w:rFonts w:ascii="Times New Roman" w:eastAsia="Times New Roman" w:hAnsi="Times New Roman" w:cs="Times New Roman"/>
          <w:color w:val="363C40"/>
          <w:sz w:val="28"/>
          <w:szCs w:val="28"/>
          <w:lang w:eastAsia="tr-TR"/>
        </w:rPr>
      </w:pPr>
      <w:r w:rsidRPr="001A0E32">
        <w:rPr>
          <w:rFonts w:ascii="Times New Roman" w:eastAsia="Times New Roman" w:hAnsi="Times New Roman" w:cs="Times New Roman"/>
          <w:color w:val="363C40"/>
          <w:sz w:val="28"/>
          <w:szCs w:val="28"/>
          <w:lang w:eastAsia="tr-TR"/>
        </w:rPr>
        <w:t>Huzur hakkı, gider olarak gösterilebilen bir ödeme türü olduğu için vergi yönünden bazı avantajlar kazandırabili</w:t>
      </w:r>
      <w:r w:rsidR="005976BC">
        <w:rPr>
          <w:rFonts w:ascii="Times New Roman" w:eastAsia="Times New Roman" w:hAnsi="Times New Roman" w:cs="Times New Roman"/>
          <w:color w:val="363C40"/>
          <w:sz w:val="28"/>
          <w:szCs w:val="28"/>
          <w:lang w:eastAsia="tr-TR"/>
        </w:rPr>
        <w:t>yor. Kurumlar vergisi oranı 2023</w:t>
      </w:r>
      <w:r w:rsidRPr="001A0E32">
        <w:rPr>
          <w:rFonts w:ascii="Times New Roman" w:eastAsia="Times New Roman" w:hAnsi="Times New Roman" w:cs="Times New Roman"/>
          <w:color w:val="363C40"/>
          <w:sz w:val="28"/>
          <w:szCs w:val="28"/>
          <w:lang w:eastAsia="tr-TR"/>
        </w:rPr>
        <w:t xml:space="preserve"> yılı itibariyle %25’dir. Bunun yanı sıra her kar dağıtımına müteakiben ortaklar tarafından %15 oranında stopaj vergisi ödemesi de yapılır. Fakat huzur hakkı kapsamında ödenen ücretler, ücretin miktarına göre %15’den başlayarak %40’a varan oranlara kadar vergilendirildiği için bu söz konusu tutar gider olarak gösterilebilir. Huzur hakkı ödemesinin gider olarak gösterilmesinden sonra bu duruma bağlı olarak beyan edilen şirket kârının yanı sıra geçici kurumlar vergisi için ödenecek miktarlarda da düşüş yaşanacaktır. Diğer yandan şirketten alınan kâr paylarının gider olarak gösterilmesinin mümkün olmadığını vurgulamakta fayda vardır.</w:t>
      </w:r>
    </w:p>
    <w:p w:rsidR="000B77F8" w:rsidRPr="00843A27" w:rsidRDefault="000B77F8" w:rsidP="00843A27">
      <w:pPr>
        <w:pStyle w:val="NormalWeb"/>
        <w:spacing w:before="0" w:beforeAutospacing="0" w:after="0" w:afterAutospacing="0"/>
        <w:jc w:val="both"/>
        <w:textAlignment w:val="baseline"/>
        <w:rPr>
          <w:sz w:val="28"/>
          <w:szCs w:val="28"/>
        </w:rPr>
      </w:pPr>
      <w:r w:rsidRPr="00843A27">
        <w:rPr>
          <w:sz w:val="28"/>
          <w:szCs w:val="28"/>
        </w:rPr>
        <w:t xml:space="preserve">Bir kere net 50.000 TL'lik huzur hakkı verdiğinizde, aynı yıl içerisinde tekrar huzur hakkı vermek isterseniz vergi hesaplamasına kaldığınız yerden devam etmek zorundasınız. Yani, vergi hesabında brüt toplam tutarı dikkate alarak vergi dilimlerini belirlemelisiniz. Brüt 70.000 TL ye kadar %15; üstü rakam için de %20 vergi ile hesaplama yapılmalıdır. </w:t>
      </w:r>
      <w:proofErr w:type="gramStart"/>
      <w:r w:rsidRPr="00843A27">
        <w:rPr>
          <w:sz w:val="28"/>
          <w:szCs w:val="28"/>
        </w:rPr>
        <w:t>rakam</w:t>
      </w:r>
      <w:proofErr w:type="gramEnd"/>
      <w:r w:rsidRPr="00843A27">
        <w:rPr>
          <w:sz w:val="28"/>
          <w:szCs w:val="28"/>
        </w:rPr>
        <w:t xml:space="preserve"> için Net 50.000 TL'nin brüt tutarı yukarıda görüldüğü gibi 60.619,44TL'dir ve %15 ve %20 olmak üzere 2 vergi ayrı dilimine girmektedir.</w:t>
      </w:r>
    </w:p>
    <w:p w:rsidR="000B77F8" w:rsidRPr="00843A27" w:rsidRDefault="000B77F8" w:rsidP="00843A27">
      <w:pPr>
        <w:pStyle w:val="NormalWeb"/>
        <w:jc w:val="both"/>
        <w:textAlignment w:val="baseline"/>
        <w:rPr>
          <w:sz w:val="28"/>
          <w:szCs w:val="28"/>
        </w:rPr>
      </w:pPr>
      <w:r w:rsidRPr="00843A27">
        <w:rPr>
          <w:sz w:val="28"/>
          <w:szCs w:val="28"/>
        </w:rPr>
        <w:t>Aynı yıl içerisinde tekrar vereceğiniz huzur hakkının hesaplanmasında vergi diliminizi %15'ten değil, kaldığınız vergi dilimi olan %20'den ve brüt tutar olan 36.345 TL'den devam ettirmelisiniz.</w:t>
      </w:r>
    </w:p>
    <w:p w:rsidR="000B77F8" w:rsidRPr="00843A27" w:rsidRDefault="000B77F8" w:rsidP="00843A27">
      <w:pPr>
        <w:pStyle w:val="NormalWeb"/>
        <w:jc w:val="both"/>
        <w:textAlignment w:val="baseline"/>
        <w:rPr>
          <w:sz w:val="28"/>
          <w:szCs w:val="28"/>
        </w:rPr>
      </w:pPr>
      <w:r w:rsidRPr="00843A27">
        <w:rPr>
          <w:sz w:val="28"/>
          <w:szCs w:val="28"/>
        </w:rPr>
        <w:t>Huzur Hakkı ücret sınıfına girdiği için asgari geçim indirimine tabidir ancak sigorta primine tabi değildir. Huzur hakkı için de bordro düzenlenmesi gerekir.</w:t>
      </w:r>
    </w:p>
    <w:p w:rsidR="000B77F8" w:rsidRPr="00843A27" w:rsidRDefault="000B77F8" w:rsidP="00843A27">
      <w:pPr>
        <w:pStyle w:val="NormalWeb"/>
        <w:jc w:val="both"/>
        <w:textAlignment w:val="baseline"/>
        <w:rPr>
          <w:sz w:val="28"/>
          <w:szCs w:val="28"/>
        </w:rPr>
      </w:pPr>
      <w:r w:rsidRPr="00843A27">
        <w:rPr>
          <w:sz w:val="28"/>
          <w:szCs w:val="28"/>
        </w:rPr>
        <w:t>Huzur hakkı ödemeleri şirketin mali yapısına uygun ve makul olmalıdır. Şirketin mali yapısına uygun olmayan huzur hakkı ödemelerinde Kurumlar Vergisi Kanunu’na göre örtülü kazanç kapsamında ceza yiyebilirsiniz. Dolayısı ile şirketiniz karlı ise ve şirketinizden para çekmek istiyorsanız makul bir tutarını huzur hakkı, geri kalanı ise kar payı olarak alabilirsiniz.</w:t>
      </w:r>
    </w:p>
    <w:p w:rsidR="000B77F8" w:rsidRPr="00843A27" w:rsidRDefault="000B77F8" w:rsidP="00843A27">
      <w:pPr>
        <w:pStyle w:val="NormalWeb"/>
        <w:jc w:val="both"/>
        <w:textAlignment w:val="baseline"/>
        <w:rPr>
          <w:sz w:val="28"/>
          <w:szCs w:val="28"/>
        </w:rPr>
      </w:pPr>
      <w:r w:rsidRPr="00843A27">
        <w:rPr>
          <w:sz w:val="28"/>
          <w:szCs w:val="28"/>
        </w:rPr>
        <w:t>Burada bahsettiğim mali yapı ve makul tutar konusunda şirketlerin durumu farklılık arz edeceği için değişkenlik gösterir. Ancak herhangi bir cezai müeyyide ile karşılaşmamanız için makul tutarı emsallerine uygun olarak özetleyebiliriz.</w:t>
      </w:r>
    </w:p>
    <w:p w:rsidR="000B77F8" w:rsidRPr="00843A27" w:rsidRDefault="000B77F8" w:rsidP="00843A27">
      <w:pPr>
        <w:pStyle w:val="NormalWeb"/>
        <w:jc w:val="both"/>
        <w:textAlignment w:val="baseline"/>
        <w:rPr>
          <w:sz w:val="28"/>
          <w:szCs w:val="28"/>
        </w:rPr>
      </w:pPr>
      <w:r w:rsidRPr="00843A27">
        <w:rPr>
          <w:sz w:val="28"/>
          <w:szCs w:val="28"/>
        </w:rPr>
        <w:t>Şirketlerin geçici vergileri 3 ayda bir ödediğini göz önüne alırsak; 3 aylık dönemde karlı bir dönem geçirdiyseniz ve vergi planlaması yapmak istiyorsanız; mali müşaviriniz ile huzur hakkı seçeneğini 3 aylık (mesela Ocak-Mart) dönem ardından masaya yatırmanızı tavsiye ederim.</w:t>
      </w:r>
    </w:p>
    <w:p w:rsidR="000B77F8" w:rsidRPr="00843A27" w:rsidRDefault="000B77F8" w:rsidP="00843A27">
      <w:pPr>
        <w:pStyle w:val="NormalWeb"/>
        <w:jc w:val="both"/>
        <w:textAlignment w:val="baseline"/>
        <w:rPr>
          <w:sz w:val="28"/>
          <w:szCs w:val="28"/>
        </w:rPr>
      </w:pPr>
      <w:r w:rsidRPr="00843A27">
        <w:rPr>
          <w:sz w:val="28"/>
          <w:szCs w:val="28"/>
        </w:rPr>
        <w:t>Muhtasar beyannamede, huzur hakkının yukarıda bahsettiğim vergisini beyan etmeniz gerekir ve böylece geçici vergi hesaplamasında huzur hakkını gider kalemi olarak kullanabilirsiniz.</w:t>
      </w:r>
    </w:p>
    <w:p w:rsidR="00D641FF" w:rsidRPr="00843A27" w:rsidRDefault="00D641FF" w:rsidP="00843A27">
      <w:pPr>
        <w:jc w:val="both"/>
        <w:rPr>
          <w:rFonts w:ascii="Times New Roman" w:hAnsi="Times New Roman" w:cs="Times New Roman"/>
          <w:sz w:val="28"/>
          <w:szCs w:val="28"/>
        </w:rPr>
      </w:pPr>
    </w:p>
    <w:sectPr w:rsidR="00D641FF" w:rsidRPr="00843A27" w:rsidSect="00D641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703F3"/>
    <w:multiLevelType w:val="multilevel"/>
    <w:tmpl w:val="7C74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7C666D"/>
    <w:multiLevelType w:val="multilevel"/>
    <w:tmpl w:val="3CAC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A26C0D"/>
    <w:multiLevelType w:val="multilevel"/>
    <w:tmpl w:val="8568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AE17E1"/>
    <w:multiLevelType w:val="multilevel"/>
    <w:tmpl w:val="79C4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1A0E32"/>
    <w:rsid w:val="000B77F8"/>
    <w:rsid w:val="001A0E32"/>
    <w:rsid w:val="002B740F"/>
    <w:rsid w:val="00383FB3"/>
    <w:rsid w:val="003A79EF"/>
    <w:rsid w:val="004368A2"/>
    <w:rsid w:val="005976BC"/>
    <w:rsid w:val="00843A27"/>
    <w:rsid w:val="008F6E6F"/>
    <w:rsid w:val="009F1B30"/>
    <w:rsid w:val="00AE614D"/>
    <w:rsid w:val="00BA7EC2"/>
    <w:rsid w:val="00D641FF"/>
    <w:rsid w:val="00D82EB5"/>
    <w:rsid w:val="00E345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EB5"/>
  </w:style>
  <w:style w:type="paragraph" w:styleId="Balk1">
    <w:name w:val="heading 1"/>
    <w:basedOn w:val="Normal"/>
    <w:next w:val="Normal"/>
    <w:link w:val="Balk1Char"/>
    <w:uiPriority w:val="9"/>
    <w:qFormat/>
    <w:rsid w:val="00D82E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D82E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1A0E32"/>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link w:val="Balk4Char"/>
    <w:uiPriority w:val="9"/>
    <w:qFormat/>
    <w:rsid w:val="001A0E3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next w:val="Normal"/>
    <w:link w:val="Balk5Char"/>
    <w:uiPriority w:val="9"/>
    <w:unhideWhenUsed/>
    <w:qFormat/>
    <w:rsid w:val="001A0E3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2EB5"/>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D82EB5"/>
    <w:rPr>
      <w:rFonts w:asciiTheme="majorHAnsi" w:eastAsiaTheme="majorEastAsia" w:hAnsiTheme="majorHAnsi" w:cstheme="majorBidi"/>
      <w:b/>
      <w:bCs/>
      <w:color w:val="4F81BD" w:themeColor="accent1"/>
      <w:sz w:val="26"/>
      <w:szCs w:val="26"/>
    </w:rPr>
  </w:style>
  <w:style w:type="paragraph" w:styleId="AralkYok">
    <w:name w:val="No Spacing"/>
    <w:uiPriority w:val="1"/>
    <w:qFormat/>
    <w:rsid w:val="00D82EB5"/>
    <w:pPr>
      <w:spacing w:after="0" w:line="240" w:lineRule="auto"/>
    </w:pPr>
  </w:style>
  <w:style w:type="character" w:customStyle="1" w:styleId="Balk4Char">
    <w:name w:val="Başlık 4 Char"/>
    <w:basedOn w:val="VarsaylanParagrafYazTipi"/>
    <w:link w:val="Balk4"/>
    <w:uiPriority w:val="9"/>
    <w:rsid w:val="001A0E32"/>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1A0E32"/>
    <w:rPr>
      <w:color w:val="0000FF"/>
      <w:u w:val="single"/>
    </w:rPr>
  </w:style>
  <w:style w:type="paragraph" w:styleId="NormalWeb">
    <w:name w:val="Normal (Web)"/>
    <w:basedOn w:val="Normal"/>
    <w:uiPriority w:val="99"/>
    <w:unhideWhenUsed/>
    <w:rsid w:val="001A0E3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A0E32"/>
    <w:rPr>
      <w:b/>
      <w:bCs/>
    </w:rPr>
  </w:style>
  <w:style w:type="paragraph" w:customStyle="1" w:styleId="has-background">
    <w:name w:val="has-background"/>
    <w:basedOn w:val="Normal"/>
    <w:rsid w:val="001A0E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has-large-font-size">
    <w:name w:val="has-large-font-size"/>
    <w:basedOn w:val="Normal"/>
    <w:rsid w:val="001A0E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A0E3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A0E32"/>
    <w:rPr>
      <w:rFonts w:ascii="Tahoma" w:hAnsi="Tahoma" w:cs="Tahoma"/>
      <w:sz w:val="16"/>
      <w:szCs w:val="16"/>
    </w:rPr>
  </w:style>
  <w:style w:type="character" w:customStyle="1" w:styleId="Balk3Char">
    <w:name w:val="Başlık 3 Char"/>
    <w:basedOn w:val="VarsaylanParagrafYazTipi"/>
    <w:link w:val="Balk3"/>
    <w:uiPriority w:val="9"/>
    <w:rsid w:val="001A0E32"/>
    <w:rPr>
      <w:rFonts w:asciiTheme="majorHAnsi" w:eastAsiaTheme="majorEastAsia" w:hAnsiTheme="majorHAnsi" w:cstheme="majorBidi"/>
      <w:b/>
      <w:bCs/>
      <w:color w:val="4F81BD" w:themeColor="accent1"/>
    </w:rPr>
  </w:style>
  <w:style w:type="character" w:customStyle="1" w:styleId="Balk5Char">
    <w:name w:val="Başlık 5 Char"/>
    <w:basedOn w:val="VarsaylanParagrafYazTipi"/>
    <w:link w:val="Balk5"/>
    <w:uiPriority w:val="9"/>
    <w:rsid w:val="001A0E32"/>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800998492">
      <w:bodyDiv w:val="1"/>
      <w:marLeft w:val="0"/>
      <w:marRight w:val="0"/>
      <w:marTop w:val="0"/>
      <w:marBottom w:val="0"/>
      <w:divBdr>
        <w:top w:val="none" w:sz="0" w:space="0" w:color="auto"/>
        <w:left w:val="none" w:sz="0" w:space="0" w:color="auto"/>
        <w:bottom w:val="none" w:sz="0" w:space="0" w:color="auto"/>
        <w:right w:val="none" w:sz="0" w:space="0" w:color="auto"/>
      </w:divBdr>
      <w:divsChild>
        <w:div w:id="1444762030">
          <w:marLeft w:val="0"/>
          <w:marRight w:val="0"/>
          <w:marTop w:val="0"/>
          <w:marBottom w:val="0"/>
          <w:divBdr>
            <w:top w:val="none" w:sz="0" w:space="0" w:color="auto"/>
            <w:left w:val="none" w:sz="0" w:space="0" w:color="auto"/>
            <w:bottom w:val="none" w:sz="0" w:space="0" w:color="auto"/>
            <w:right w:val="none" w:sz="0" w:space="0" w:color="auto"/>
          </w:divBdr>
          <w:divsChild>
            <w:div w:id="903684007">
              <w:marLeft w:val="2850"/>
              <w:marRight w:val="0"/>
              <w:marTop w:val="0"/>
              <w:marBottom w:val="0"/>
              <w:divBdr>
                <w:top w:val="none" w:sz="0" w:space="0" w:color="auto"/>
                <w:left w:val="none" w:sz="0" w:space="0" w:color="auto"/>
                <w:bottom w:val="none" w:sz="0" w:space="0" w:color="auto"/>
                <w:right w:val="none" w:sz="0" w:space="0" w:color="auto"/>
              </w:divBdr>
              <w:divsChild>
                <w:div w:id="29232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515044">
          <w:marLeft w:val="0"/>
          <w:marRight w:val="0"/>
          <w:marTop w:val="0"/>
          <w:marBottom w:val="0"/>
          <w:divBdr>
            <w:top w:val="none" w:sz="0" w:space="0" w:color="auto"/>
            <w:left w:val="none" w:sz="0" w:space="0" w:color="auto"/>
            <w:bottom w:val="none" w:sz="0" w:space="0" w:color="auto"/>
            <w:right w:val="none" w:sz="0" w:space="0" w:color="auto"/>
          </w:divBdr>
          <w:divsChild>
            <w:div w:id="2043749315">
              <w:marLeft w:val="2850"/>
              <w:marRight w:val="0"/>
              <w:marTop w:val="0"/>
              <w:marBottom w:val="0"/>
              <w:divBdr>
                <w:top w:val="none" w:sz="0" w:space="0" w:color="auto"/>
                <w:left w:val="none" w:sz="0" w:space="0" w:color="auto"/>
                <w:bottom w:val="none" w:sz="0" w:space="0" w:color="auto"/>
                <w:right w:val="none" w:sz="0" w:space="0" w:color="auto"/>
              </w:divBdr>
              <w:divsChild>
                <w:div w:id="1311253186">
                  <w:marLeft w:val="0"/>
                  <w:marRight w:val="0"/>
                  <w:marTop w:val="0"/>
                  <w:marBottom w:val="0"/>
                  <w:divBdr>
                    <w:top w:val="none" w:sz="0" w:space="0" w:color="auto"/>
                    <w:left w:val="none" w:sz="0" w:space="0" w:color="auto"/>
                    <w:bottom w:val="none" w:sz="0" w:space="0" w:color="auto"/>
                    <w:right w:val="none" w:sz="0" w:space="0" w:color="auto"/>
                  </w:divBdr>
                  <w:divsChild>
                    <w:div w:id="644242354">
                      <w:marLeft w:val="0"/>
                      <w:marRight w:val="0"/>
                      <w:marTop w:val="0"/>
                      <w:marBottom w:val="0"/>
                      <w:divBdr>
                        <w:top w:val="none" w:sz="0" w:space="0" w:color="auto"/>
                        <w:left w:val="none" w:sz="0" w:space="0" w:color="auto"/>
                        <w:bottom w:val="none" w:sz="0" w:space="0" w:color="auto"/>
                        <w:right w:val="none" w:sz="0" w:space="0" w:color="auto"/>
                      </w:divBdr>
                    </w:div>
                    <w:div w:id="1650473745">
                      <w:marLeft w:val="0"/>
                      <w:marRight w:val="0"/>
                      <w:marTop w:val="0"/>
                      <w:marBottom w:val="0"/>
                      <w:divBdr>
                        <w:top w:val="none" w:sz="0" w:space="0" w:color="auto"/>
                        <w:left w:val="none" w:sz="0" w:space="0" w:color="auto"/>
                        <w:bottom w:val="none" w:sz="0" w:space="0" w:color="auto"/>
                        <w:right w:val="none" w:sz="0" w:space="0" w:color="auto"/>
                      </w:divBdr>
                    </w:div>
                    <w:div w:id="41204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440">
          <w:marLeft w:val="2850"/>
          <w:marRight w:val="0"/>
          <w:marTop w:val="0"/>
          <w:marBottom w:val="0"/>
          <w:divBdr>
            <w:top w:val="none" w:sz="0" w:space="0" w:color="auto"/>
            <w:left w:val="none" w:sz="0" w:space="0" w:color="auto"/>
            <w:bottom w:val="none" w:sz="0" w:space="0" w:color="auto"/>
            <w:right w:val="none" w:sz="0" w:space="0" w:color="auto"/>
          </w:divBdr>
          <w:divsChild>
            <w:div w:id="29653605">
              <w:marLeft w:val="0"/>
              <w:marRight w:val="0"/>
              <w:marTop w:val="0"/>
              <w:marBottom w:val="0"/>
              <w:divBdr>
                <w:top w:val="none" w:sz="0" w:space="0" w:color="auto"/>
                <w:left w:val="none" w:sz="0" w:space="0" w:color="auto"/>
                <w:bottom w:val="none" w:sz="0" w:space="0" w:color="auto"/>
                <w:right w:val="none" w:sz="0" w:space="0" w:color="auto"/>
              </w:divBdr>
              <w:divsChild>
                <w:div w:id="19115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059408">
          <w:marLeft w:val="0"/>
          <w:marRight w:val="0"/>
          <w:marTop w:val="0"/>
          <w:marBottom w:val="0"/>
          <w:divBdr>
            <w:top w:val="none" w:sz="0" w:space="0" w:color="auto"/>
            <w:left w:val="none" w:sz="0" w:space="0" w:color="auto"/>
            <w:bottom w:val="none" w:sz="0" w:space="0" w:color="auto"/>
            <w:right w:val="none" w:sz="0" w:space="0" w:color="auto"/>
          </w:divBdr>
          <w:divsChild>
            <w:div w:id="928587681">
              <w:marLeft w:val="0"/>
              <w:marRight w:val="0"/>
              <w:marTop w:val="0"/>
              <w:marBottom w:val="0"/>
              <w:divBdr>
                <w:top w:val="none" w:sz="0" w:space="0" w:color="auto"/>
                <w:left w:val="none" w:sz="0" w:space="0" w:color="auto"/>
                <w:bottom w:val="none" w:sz="0" w:space="0" w:color="auto"/>
                <w:right w:val="none" w:sz="0" w:space="0" w:color="auto"/>
              </w:divBdr>
              <w:divsChild>
                <w:div w:id="12920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91696">
      <w:bodyDiv w:val="1"/>
      <w:marLeft w:val="0"/>
      <w:marRight w:val="0"/>
      <w:marTop w:val="0"/>
      <w:marBottom w:val="0"/>
      <w:divBdr>
        <w:top w:val="none" w:sz="0" w:space="0" w:color="auto"/>
        <w:left w:val="none" w:sz="0" w:space="0" w:color="auto"/>
        <w:bottom w:val="none" w:sz="0" w:space="0" w:color="auto"/>
        <w:right w:val="none" w:sz="0" w:space="0" w:color="auto"/>
      </w:divBdr>
    </w:div>
    <w:div w:id="1728911828">
      <w:bodyDiv w:val="1"/>
      <w:marLeft w:val="0"/>
      <w:marRight w:val="0"/>
      <w:marTop w:val="0"/>
      <w:marBottom w:val="0"/>
      <w:divBdr>
        <w:top w:val="none" w:sz="0" w:space="0" w:color="auto"/>
        <w:left w:val="none" w:sz="0" w:space="0" w:color="auto"/>
        <w:bottom w:val="none" w:sz="0" w:space="0" w:color="auto"/>
        <w:right w:val="none" w:sz="0" w:space="0" w:color="auto"/>
      </w:divBdr>
      <w:divsChild>
        <w:div w:id="963342087">
          <w:marLeft w:val="0"/>
          <w:marRight w:val="0"/>
          <w:marTop w:val="0"/>
          <w:marBottom w:val="0"/>
          <w:divBdr>
            <w:top w:val="none" w:sz="0" w:space="0" w:color="auto"/>
            <w:left w:val="none" w:sz="0" w:space="0" w:color="auto"/>
            <w:bottom w:val="single" w:sz="6" w:space="0" w:color="D5D8D9"/>
            <w:right w:val="none" w:sz="0" w:space="0" w:color="auto"/>
          </w:divBdr>
          <w:divsChild>
            <w:div w:id="286619051">
              <w:marLeft w:val="-225"/>
              <w:marRight w:val="-225"/>
              <w:marTop w:val="0"/>
              <w:marBottom w:val="0"/>
              <w:divBdr>
                <w:top w:val="none" w:sz="0" w:space="0" w:color="auto"/>
                <w:left w:val="none" w:sz="0" w:space="0" w:color="auto"/>
                <w:bottom w:val="none" w:sz="0" w:space="0" w:color="auto"/>
                <w:right w:val="none" w:sz="0" w:space="0" w:color="auto"/>
              </w:divBdr>
              <w:divsChild>
                <w:div w:id="1283072104">
                  <w:marLeft w:val="0"/>
                  <w:marRight w:val="0"/>
                  <w:marTop w:val="0"/>
                  <w:marBottom w:val="0"/>
                  <w:divBdr>
                    <w:top w:val="none" w:sz="0" w:space="0" w:color="auto"/>
                    <w:left w:val="none" w:sz="0" w:space="0" w:color="auto"/>
                    <w:bottom w:val="none" w:sz="0" w:space="0" w:color="auto"/>
                    <w:right w:val="none" w:sz="0" w:space="0" w:color="auto"/>
                  </w:divBdr>
                  <w:divsChild>
                    <w:div w:id="1549494458">
                      <w:marLeft w:val="0"/>
                      <w:marRight w:val="0"/>
                      <w:marTop w:val="0"/>
                      <w:marBottom w:val="0"/>
                      <w:divBdr>
                        <w:top w:val="none" w:sz="0" w:space="0" w:color="auto"/>
                        <w:left w:val="none" w:sz="0" w:space="0" w:color="auto"/>
                        <w:bottom w:val="none" w:sz="0" w:space="0" w:color="auto"/>
                        <w:right w:val="none" w:sz="0" w:space="0" w:color="auto"/>
                      </w:divBdr>
                      <w:divsChild>
                        <w:div w:id="469634120">
                          <w:marLeft w:val="0"/>
                          <w:marRight w:val="0"/>
                          <w:marTop w:val="0"/>
                          <w:marBottom w:val="0"/>
                          <w:divBdr>
                            <w:top w:val="none" w:sz="0" w:space="0" w:color="auto"/>
                            <w:left w:val="none" w:sz="0" w:space="0" w:color="auto"/>
                            <w:bottom w:val="none" w:sz="0" w:space="0" w:color="auto"/>
                            <w:right w:val="none" w:sz="0" w:space="0" w:color="auto"/>
                          </w:divBdr>
                        </w:div>
                        <w:div w:id="1010067732">
                          <w:marLeft w:val="0"/>
                          <w:marRight w:val="0"/>
                          <w:marTop w:val="0"/>
                          <w:marBottom w:val="0"/>
                          <w:divBdr>
                            <w:top w:val="none" w:sz="0" w:space="0" w:color="auto"/>
                            <w:left w:val="none" w:sz="0" w:space="0" w:color="auto"/>
                            <w:bottom w:val="none" w:sz="0" w:space="0" w:color="auto"/>
                            <w:right w:val="none" w:sz="0" w:space="0" w:color="auto"/>
                          </w:divBdr>
                        </w:div>
                      </w:divsChild>
                    </w:div>
                    <w:div w:id="1195849680">
                      <w:marLeft w:val="0"/>
                      <w:marRight w:val="0"/>
                      <w:marTop w:val="0"/>
                      <w:marBottom w:val="0"/>
                      <w:divBdr>
                        <w:top w:val="none" w:sz="0" w:space="0" w:color="auto"/>
                        <w:left w:val="single" w:sz="12" w:space="0" w:color="0063A8"/>
                        <w:bottom w:val="none" w:sz="0" w:space="0" w:color="auto"/>
                        <w:right w:val="none" w:sz="0" w:space="0" w:color="auto"/>
                      </w:divBdr>
                    </w:div>
                  </w:divsChild>
                </w:div>
                <w:div w:id="136166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90146">
          <w:marLeft w:val="0"/>
          <w:marRight w:val="0"/>
          <w:marTop w:val="0"/>
          <w:marBottom w:val="240"/>
          <w:divBdr>
            <w:top w:val="single" w:sz="6" w:space="13" w:color="E6E4E4"/>
            <w:left w:val="single" w:sz="6" w:space="0" w:color="E6E4E4"/>
            <w:bottom w:val="single" w:sz="6" w:space="0" w:color="E6E4E4"/>
            <w:right w:val="single" w:sz="6" w:space="0" w:color="E6E4E4"/>
          </w:divBdr>
          <w:divsChild>
            <w:div w:id="276521523">
              <w:marLeft w:val="0"/>
              <w:marRight w:val="0"/>
              <w:marTop w:val="0"/>
              <w:marBottom w:val="0"/>
              <w:divBdr>
                <w:top w:val="none" w:sz="0" w:space="0" w:color="auto"/>
                <w:left w:val="none" w:sz="0" w:space="0" w:color="auto"/>
                <w:bottom w:val="none" w:sz="0" w:space="0" w:color="auto"/>
                <w:right w:val="none" w:sz="0" w:space="0" w:color="auto"/>
              </w:divBdr>
            </w:div>
          </w:divsChild>
        </w:div>
        <w:div w:id="779838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arasut.com/blog/sirket-ana-sozlemesi-nedir-neler-iceri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1162</Words>
  <Characters>6624</Characters>
  <Application>Microsoft Office Word</Application>
  <DocSecurity>0</DocSecurity>
  <Lines>55</Lines>
  <Paragraphs>15</Paragraphs>
  <ScaleCrop>false</ScaleCrop>
  <HeadingPairs>
    <vt:vector size="4" baseType="variant">
      <vt:variant>
        <vt:lpstr>Konu Başlığı</vt:lpstr>
      </vt:variant>
      <vt:variant>
        <vt:i4>1</vt:i4>
      </vt:variant>
      <vt:variant>
        <vt:lpstr>Başlıklar</vt:lpstr>
      </vt:variant>
      <vt:variant>
        <vt:i4>9</vt:i4>
      </vt:variant>
    </vt:vector>
  </HeadingPairs>
  <TitlesOfParts>
    <vt:vector size="10" baseType="lpstr">
      <vt:lpstr/>
      <vt:lpstr>    Huzur hakkı ödemesi kimlere yapılır?</vt:lpstr>
      <vt:lpstr>    Huzur hakkı hesaplanırken nelere dikkat etmeliyiz?</vt:lpstr>
      <vt:lpstr>    Huzur hakkı nasıl hesaplanır?</vt:lpstr>
      <vt:lpstr>    2023 Yılı Gelir Vergisi Yükümlülüğü</vt:lpstr>
      <vt:lpstr>    2023 Gelir Vergisi İstisnası</vt:lpstr>
      <vt:lpstr>    Damga Vergisi Oranı</vt:lpstr>
      <vt:lpstr>    Huzur Hakkı Hesaplarken Nelere Dikkat Edilir?</vt:lpstr>
      <vt:lpstr>    Huzur Hakkının Vergilendirmesi</vt:lpstr>
      <vt:lpstr/>
    </vt:vector>
  </TitlesOfParts>
  <Company/>
  <LinksUpToDate>false</LinksUpToDate>
  <CharactersWithSpaces>7771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12</cp:revision>
  <dcterms:created xsi:type="dcterms:W3CDTF">2023-08-22T11:06:00Z</dcterms:created>
  <dcterms:modified xsi:type="dcterms:W3CDTF">2023-08-22T11:31:00Z</dcterms:modified>
</cp:coreProperties>
</file>