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359" w:rsidRPr="005C3359" w:rsidRDefault="005C3359" w:rsidP="005C3359">
      <w:pPr>
        <w:spacing w:after="243" w:line="240" w:lineRule="auto"/>
        <w:outlineLvl w:val="1"/>
        <w:rPr>
          <w:rFonts w:ascii="Arial" w:eastAsia="Times New Roman" w:hAnsi="Arial" w:cs="Arial"/>
          <w:b/>
          <w:bCs/>
          <w:color w:val="09376B"/>
          <w:sz w:val="42"/>
          <w:szCs w:val="42"/>
          <w:lang w:eastAsia="tr-TR"/>
        </w:rPr>
      </w:pPr>
      <w:r w:rsidRPr="005C3359">
        <w:rPr>
          <w:rFonts w:ascii="Arial" w:eastAsia="Times New Roman" w:hAnsi="Arial" w:cs="Arial"/>
          <w:b/>
          <w:bCs/>
          <w:color w:val="09376B"/>
          <w:sz w:val="42"/>
          <w:szCs w:val="42"/>
          <w:lang w:eastAsia="tr-TR"/>
        </w:rPr>
        <w:t>Avrupa Yeşil Mutabakatı</w:t>
      </w:r>
    </w:p>
    <w:p w:rsidR="005C3359" w:rsidRDefault="005C3359" w:rsidP="005C3359">
      <w:pPr>
        <w:shd w:val="clear" w:color="auto" w:fill="FFFFFF"/>
        <w:spacing w:after="100" w:afterAutospacing="1" w:line="240" w:lineRule="auto"/>
        <w:jc w:val="both"/>
        <w:rPr>
          <w:rFonts w:ascii="Arial" w:eastAsia="Times New Roman" w:hAnsi="Arial" w:cs="Arial"/>
          <w:color w:val="212529"/>
          <w:sz w:val="28"/>
          <w:szCs w:val="28"/>
          <w:lang w:eastAsia="tr-TR"/>
        </w:rPr>
      </w:pPr>
      <w:r w:rsidRPr="005C3359">
        <w:rPr>
          <w:rFonts w:ascii="Arial" w:eastAsia="Times New Roman" w:hAnsi="Arial" w:cs="Arial"/>
          <w:color w:val="212529"/>
          <w:sz w:val="28"/>
          <w:szCs w:val="28"/>
          <w:lang w:eastAsia="tr-TR"/>
        </w:rPr>
        <w:t>İş insanlarımız tarafından Avrupa Birliği üyesi ülkelerin pazarına erişimde dikkate alınması gereken önemli bir husus Avrupa Yeşil Mutabakatı çerçevesinde gerçekleşmekte olan ekonomik dönüşüm sürecidir.  </w:t>
      </w:r>
      <w:r w:rsidRPr="005C3359">
        <w:rPr>
          <w:rFonts w:ascii="Arial" w:eastAsia="Times New Roman" w:hAnsi="Arial" w:cs="Arial"/>
          <w:color w:val="212529"/>
          <w:sz w:val="28"/>
          <w:szCs w:val="28"/>
          <w:lang w:eastAsia="tr-TR"/>
        </w:rPr>
        <w:br/>
        <w:t> </w:t>
      </w:r>
      <w:r w:rsidRPr="005C3359">
        <w:rPr>
          <w:rFonts w:ascii="Arial" w:eastAsia="Times New Roman" w:hAnsi="Arial" w:cs="Arial"/>
          <w:color w:val="212529"/>
          <w:sz w:val="28"/>
          <w:szCs w:val="28"/>
          <w:lang w:eastAsia="tr-TR"/>
        </w:rPr>
        <w:br/>
        <w:t>Avrupa Birliği (AB), 11 Aralık 2019 tarihinde açıkladığı </w:t>
      </w:r>
      <w:hyperlink r:id="rId5" w:history="1">
        <w:r w:rsidRPr="005C3359">
          <w:rPr>
            <w:rFonts w:ascii="Arial" w:eastAsia="Times New Roman" w:hAnsi="Arial" w:cs="Arial"/>
            <w:color w:val="007BFF"/>
            <w:sz w:val="28"/>
            <w:szCs w:val="28"/>
            <w:lang w:eastAsia="tr-TR"/>
          </w:rPr>
          <w:t>Avrupa Yeşil Mutabakatı (AYM)</w:t>
        </w:r>
      </w:hyperlink>
      <w:r w:rsidRPr="005C3359">
        <w:rPr>
          <w:rFonts w:ascii="Arial" w:eastAsia="Times New Roman" w:hAnsi="Arial" w:cs="Arial"/>
          <w:color w:val="212529"/>
          <w:sz w:val="28"/>
          <w:szCs w:val="28"/>
          <w:lang w:eastAsia="tr-TR"/>
        </w:rPr>
        <w:t> ile 2050 yılında iklim-</w:t>
      </w:r>
      <w:proofErr w:type="gramStart"/>
      <w:r w:rsidRPr="005C3359">
        <w:rPr>
          <w:rFonts w:ascii="Arial" w:eastAsia="Times New Roman" w:hAnsi="Arial" w:cs="Arial"/>
          <w:color w:val="212529"/>
          <w:sz w:val="28"/>
          <w:szCs w:val="28"/>
          <w:lang w:eastAsia="tr-TR"/>
        </w:rPr>
        <w:t>nötr</w:t>
      </w:r>
      <w:proofErr w:type="gramEnd"/>
      <w:r w:rsidRPr="005C3359">
        <w:rPr>
          <w:rFonts w:ascii="Arial" w:eastAsia="Times New Roman" w:hAnsi="Arial" w:cs="Arial"/>
          <w:color w:val="212529"/>
          <w:sz w:val="28"/>
          <w:szCs w:val="28"/>
          <w:lang w:eastAsia="tr-TR"/>
        </w:rPr>
        <w:t xml:space="preserve"> ilk kıta olma hedefini ortaya koymuştur. AB, bu hedefe ulaşmak için yeni bir büyüme stratejisi benimseyeceğini ve tüm politikalarını iklim değişikliği ekseninde yeniden şekillendireceğini açıklamıştır. Sanayiden finansmana, enerjiden ulaştırmaya ve binalardan tarıma uzanan bir dizi alanda AB politikalarında kapsamlı değişiklikler öngören Yeşil Mutabakat, Tek Pazar’ın tesisinden bu yana AB’nin en büyük girişimlerinden birisidir.</w:t>
      </w:r>
      <w:r w:rsidRPr="005C3359">
        <w:rPr>
          <w:rFonts w:ascii="Arial" w:eastAsia="Times New Roman" w:hAnsi="Arial" w:cs="Arial"/>
          <w:color w:val="212529"/>
          <w:sz w:val="28"/>
          <w:szCs w:val="28"/>
          <w:lang w:eastAsia="tr-TR"/>
        </w:rPr>
        <w:br/>
        <w:t> </w:t>
      </w:r>
      <w:r w:rsidRPr="005C3359">
        <w:rPr>
          <w:rFonts w:ascii="Arial" w:eastAsia="Times New Roman" w:hAnsi="Arial" w:cs="Arial"/>
          <w:color w:val="212529"/>
          <w:sz w:val="28"/>
          <w:szCs w:val="28"/>
          <w:lang w:eastAsia="tr-TR"/>
        </w:rPr>
        <w:br/>
        <w:t xml:space="preserve">Bu kapsamda, AB'nin iklim, enerji, arazi kullanımı, ulaşım ve vergilendirme politikalarının 2030 yılına kadar 1990’daki seviyesine kıyasla %55 </w:t>
      </w:r>
      <w:proofErr w:type="gramStart"/>
      <w:r w:rsidRPr="005C3359">
        <w:rPr>
          <w:rFonts w:ascii="Arial" w:eastAsia="Times New Roman" w:hAnsi="Arial" w:cs="Arial"/>
          <w:color w:val="212529"/>
          <w:sz w:val="28"/>
          <w:szCs w:val="28"/>
          <w:lang w:eastAsia="tr-TR"/>
        </w:rPr>
        <w:t>emisyon</w:t>
      </w:r>
      <w:proofErr w:type="gramEnd"/>
      <w:r w:rsidRPr="005C3359">
        <w:rPr>
          <w:rFonts w:ascii="Arial" w:eastAsia="Times New Roman" w:hAnsi="Arial" w:cs="Arial"/>
          <w:color w:val="212529"/>
          <w:sz w:val="28"/>
          <w:szCs w:val="28"/>
          <w:lang w:eastAsia="tr-TR"/>
        </w:rPr>
        <w:t xml:space="preserve"> </w:t>
      </w:r>
      <w:proofErr w:type="spellStart"/>
      <w:r w:rsidRPr="005C3359">
        <w:rPr>
          <w:rFonts w:ascii="Arial" w:eastAsia="Times New Roman" w:hAnsi="Arial" w:cs="Arial"/>
          <w:color w:val="212529"/>
          <w:sz w:val="28"/>
          <w:szCs w:val="28"/>
          <w:lang w:eastAsia="tr-TR"/>
        </w:rPr>
        <w:t>azaltımı</w:t>
      </w:r>
      <w:proofErr w:type="spellEnd"/>
      <w:r w:rsidRPr="005C3359">
        <w:rPr>
          <w:rFonts w:ascii="Arial" w:eastAsia="Times New Roman" w:hAnsi="Arial" w:cs="Arial"/>
          <w:color w:val="212529"/>
          <w:sz w:val="28"/>
          <w:szCs w:val="28"/>
          <w:lang w:eastAsia="tr-TR"/>
        </w:rPr>
        <w:t xml:space="preserve"> sağlanacak şekilde gözden geçirilmesi için “Fit </w:t>
      </w:r>
      <w:proofErr w:type="spellStart"/>
      <w:r w:rsidRPr="005C3359">
        <w:rPr>
          <w:rFonts w:ascii="Arial" w:eastAsia="Times New Roman" w:hAnsi="Arial" w:cs="Arial"/>
          <w:color w:val="212529"/>
          <w:sz w:val="28"/>
          <w:szCs w:val="28"/>
          <w:lang w:eastAsia="tr-TR"/>
        </w:rPr>
        <w:t>for</w:t>
      </w:r>
      <w:proofErr w:type="spellEnd"/>
      <w:r w:rsidRPr="005C3359">
        <w:rPr>
          <w:rFonts w:ascii="Arial" w:eastAsia="Times New Roman" w:hAnsi="Arial" w:cs="Arial"/>
          <w:color w:val="212529"/>
          <w:sz w:val="28"/>
          <w:szCs w:val="28"/>
          <w:lang w:eastAsia="tr-TR"/>
        </w:rPr>
        <w:t xml:space="preserve"> 55 (55’e Uyum)” mevzuat değişikliği paketi Avrupa Komisyonu’nca 14 T</w:t>
      </w:r>
      <w:r>
        <w:rPr>
          <w:rFonts w:ascii="Arial" w:eastAsia="Times New Roman" w:hAnsi="Arial" w:cs="Arial"/>
          <w:color w:val="212529"/>
          <w:sz w:val="28"/>
          <w:szCs w:val="28"/>
          <w:lang w:eastAsia="tr-TR"/>
        </w:rPr>
        <w:t>emmuz 2021’de yayımlanmıştır.</w:t>
      </w:r>
    </w:p>
    <w:p w:rsidR="005C3359" w:rsidRDefault="005C3359" w:rsidP="005C3359">
      <w:pPr>
        <w:shd w:val="clear" w:color="auto" w:fill="FFFFFF"/>
        <w:spacing w:after="100" w:afterAutospacing="1" w:line="240" w:lineRule="auto"/>
        <w:jc w:val="both"/>
        <w:rPr>
          <w:rFonts w:ascii="Arial" w:eastAsia="Times New Roman" w:hAnsi="Arial" w:cs="Arial"/>
          <w:color w:val="212529"/>
          <w:sz w:val="28"/>
          <w:szCs w:val="28"/>
          <w:lang w:eastAsia="tr-TR"/>
        </w:rPr>
      </w:pPr>
      <w:r w:rsidRPr="005C3359">
        <w:rPr>
          <w:rFonts w:ascii="Arial" w:eastAsia="Times New Roman" w:hAnsi="Arial" w:cs="Arial"/>
          <w:color w:val="212529"/>
          <w:sz w:val="28"/>
          <w:szCs w:val="28"/>
          <w:lang w:eastAsia="tr-TR"/>
        </w:rPr>
        <w:t>Paketin uluslararası ticareti etkileyecek en önemli unsurlarından birisi, dünyada ilk kez uygulamaya konulacak olan Sınırda Karbo</w:t>
      </w:r>
      <w:r>
        <w:rPr>
          <w:rFonts w:ascii="Arial" w:eastAsia="Times New Roman" w:hAnsi="Arial" w:cs="Arial"/>
          <w:color w:val="212529"/>
          <w:sz w:val="28"/>
          <w:szCs w:val="28"/>
          <w:lang w:eastAsia="tr-TR"/>
        </w:rPr>
        <w:t>n Düzenlemesidir (SKDM/CBAM).</w:t>
      </w:r>
    </w:p>
    <w:p w:rsidR="005C3359" w:rsidRPr="005C3359" w:rsidRDefault="005C3359" w:rsidP="005C3359">
      <w:pPr>
        <w:shd w:val="clear" w:color="auto" w:fill="FFFFFF"/>
        <w:spacing w:after="100" w:afterAutospacing="1" w:line="240" w:lineRule="auto"/>
        <w:jc w:val="both"/>
        <w:rPr>
          <w:rFonts w:ascii="Arial" w:eastAsia="Times New Roman" w:hAnsi="Arial" w:cs="Arial"/>
          <w:color w:val="212529"/>
          <w:sz w:val="28"/>
          <w:szCs w:val="28"/>
          <w:lang w:eastAsia="tr-TR"/>
        </w:rPr>
      </w:pPr>
      <w:r w:rsidRPr="005C3359">
        <w:rPr>
          <w:rFonts w:ascii="Arial" w:eastAsia="Times New Roman" w:hAnsi="Arial" w:cs="Arial"/>
          <w:color w:val="212529"/>
          <w:sz w:val="28"/>
          <w:szCs w:val="28"/>
          <w:lang w:eastAsia="tr-TR"/>
        </w:rPr>
        <w:t xml:space="preserve">1 Ekim 2023 itibariyle yürürlüğe girmesi beklenen düzenlemeye ilk etapta demir-çelik, çimento, alüminyum, gübre, elektrik ve hidrojen ürünleri </w:t>
      </w:r>
      <w:proofErr w:type="gramStart"/>
      <w:r w:rsidRPr="005C3359">
        <w:rPr>
          <w:rFonts w:ascii="Arial" w:eastAsia="Times New Roman" w:hAnsi="Arial" w:cs="Arial"/>
          <w:color w:val="212529"/>
          <w:sz w:val="28"/>
          <w:szCs w:val="28"/>
          <w:lang w:eastAsia="tr-TR"/>
        </w:rPr>
        <w:t>dahil</w:t>
      </w:r>
      <w:proofErr w:type="gramEnd"/>
      <w:r w:rsidRPr="005C3359">
        <w:rPr>
          <w:rFonts w:ascii="Arial" w:eastAsia="Times New Roman" w:hAnsi="Arial" w:cs="Arial"/>
          <w:color w:val="212529"/>
          <w:sz w:val="28"/>
          <w:szCs w:val="28"/>
          <w:lang w:eastAsia="tr-TR"/>
        </w:rPr>
        <w:t xml:space="preserve"> olacaktır. Uygulama kapsamında, 1 Ocak 2026 tarihine kadar olan geçiş döneminde, AB’ye ithal edilen söz konusu ürünlerin üretimi aşamasında salınan karbon </w:t>
      </w:r>
      <w:proofErr w:type="gramStart"/>
      <w:r w:rsidRPr="005C3359">
        <w:rPr>
          <w:rFonts w:ascii="Arial" w:eastAsia="Times New Roman" w:hAnsi="Arial" w:cs="Arial"/>
          <w:color w:val="212529"/>
          <w:sz w:val="28"/>
          <w:szCs w:val="28"/>
          <w:lang w:eastAsia="tr-TR"/>
        </w:rPr>
        <w:t>emisyonları</w:t>
      </w:r>
      <w:proofErr w:type="gramEnd"/>
      <w:r w:rsidRPr="005C3359">
        <w:rPr>
          <w:rFonts w:ascii="Arial" w:eastAsia="Times New Roman" w:hAnsi="Arial" w:cs="Arial"/>
          <w:color w:val="212529"/>
          <w:sz w:val="28"/>
          <w:szCs w:val="28"/>
          <w:lang w:eastAsia="tr-TR"/>
        </w:rPr>
        <w:t xml:space="preserve"> ile üretim süreçlerinde kullanılan elektriğin üretiminden kaynaklı (dolaylı) emisyonların raporlaması yapılacaktır.</w:t>
      </w:r>
      <w:r w:rsidRPr="005C3359">
        <w:rPr>
          <w:rFonts w:ascii="Arial" w:eastAsia="Times New Roman" w:hAnsi="Arial" w:cs="Arial"/>
          <w:color w:val="212529"/>
          <w:sz w:val="28"/>
          <w:szCs w:val="28"/>
          <w:lang w:eastAsia="tr-TR"/>
        </w:rPr>
        <w:br/>
        <w:t> </w:t>
      </w:r>
      <w:r w:rsidRPr="005C3359">
        <w:rPr>
          <w:rFonts w:ascii="Arial" w:eastAsia="Times New Roman" w:hAnsi="Arial" w:cs="Arial"/>
          <w:color w:val="212529"/>
          <w:sz w:val="28"/>
          <w:szCs w:val="28"/>
          <w:lang w:eastAsia="tr-TR"/>
        </w:rPr>
        <w:br/>
        <w:t xml:space="preserve">1 Ocak 2026 tarihinden itibaren başlayacak asıl uygulama döneminde ise ithal ürünlere gömülü </w:t>
      </w:r>
      <w:proofErr w:type="gramStart"/>
      <w:r w:rsidRPr="005C3359">
        <w:rPr>
          <w:rFonts w:ascii="Arial" w:eastAsia="Times New Roman" w:hAnsi="Arial" w:cs="Arial"/>
          <w:color w:val="212529"/>
          <w:sz w:val="28"/>
          <w:szCs w:val="28"/>
          <w:lang w:eastAsia="tr-TR"/>
        </w:rPr>
        <w:t>emisyonlar</w:t>
      </w:r>
      <w:proofErr w:type="gramEnd"/>
      <w:r w:rsidRPr="005C3359">
        <w:rPr>
          <w:rFonts w:ascii="Arial" w:eastAsia="Times New Roman" w:hAnsi="Arial" w:cs="Arial"/>
          <w:color w:val="212529"/>
          <w:sz w:val="28"/>
          <w:szCs w:val="28"/>
          <w:lang w:eastAsia="tr-TR"/>
        </w:rPr>
        <w:t xml:space="preserve"> için, AB’de yetkilendirilmiş ithalatçılar tarafından AB Emisyon Ticaret Sistemi (ETS)’</w:t>
      </w:r>
      <w:proofErr w:type="spellStart"/>
      <w:r w:rsidRPr="005C3359">
        <w:rPr>
          <w:rFonts w:ascii="Arial" w:eastAsia="Times New Roman" w:hAnsi="Arial" w:cs="Arial"/>
          <w:color w:val="212529"/>
          <w:sz w:val="28"/>
          <w:szCs w:val="28"/>
          <w:lang w:eastAsia="tr-TR"/>
        </w:rPr>
        <w:t>ndeki</w:t>
      </w:r>
      <w:proofErr w:type="spellEnd"/>
      <w:r w:rsidRPr="005C3359">
        <w:rPr>
          <w:rFonts w:ascii="Arial" w:eastAsia="Times New Roman" w:hAnsi="Arial" w:cs="Arial"/>
          <w:color w:val="212529"/>
          <w:sz w:val="28"/>
          <w:szCs w:val="28"/>
          <w:lang w:eastAsia="tr-TR"/>
        </w:rPr>
        <w:t xml:space="preserve"> haftalık karbon fiyatları dikkate alınarak karbon ücreti ödenmeye başlanacak, çimento ve gübre sektörlerinde dolaylı emisyonlar da ücretlendirmeye tabi olacaktır. SKDM kapsamında AB </w:t>
      </w:r>
      <w:proofErr w:type="spellStart"/>
      <w:r w:rsidRPr="005C3359">
        <w:rPr>
          <w:rFonts w:ascii="Arial" w:eastAsia="Times New Roman" w:hAnsi="Arial" w:cs="Arial"/>
          <w:color w:val="212529"/>
          <w:sz w:val="28"/>
          <w:szCs w:val="28"/>
          <w:lang w:eastAsia="tr-TR"/>
        </w:rPr>
        <w:t>ETS’sinde</w:t>
      </w:r>
      <w:proofErr w:type="spellEnd"/>
      <w:r w:rsidRPr="005C3359">
        <w:rPr>
          <w:rFonts w:ascii="Arial" w:eastAsia="Times New Roman" w:hAnsi="Arial" w:cs="Arial"/>
          <w:color w:val="212529"/>
          <w:sz w:val="28"/>
          <w:szCs w:val="28"/>
          <w:lang w:eastAsia="tr-TR"/>
        </w:rPr>
        <w:t xml:space="preserve"> Avrupalı üreticilere sağlanmakta olan ücretsiz tahsisatlar da mali yükümlülüğü azaltacak şekilde dikkate alınacak, bir yandan AB </w:t>
      </w:r>
      <w:proofErr w:type="spellStart"/>
      <w:r w:rsidRPr="005C3359">
        <w:rPr>
          <w:rFonts w:ascii="Arial" w:eastAsia="Times New Roman" w:hAnsi="Arial" w:cs="Arial"/>
          <w:color w:val="212529"/>
          <w:sz w:val="28"/>
          <w:szCs w:val="28"/>
          <w:lang w:eastAsia="tr-TR"/>
        </w:rPr>
        <w:t>ETS’sinde</w:t>
      </w:r>
      <w:proofErr w:type="spellEnd"/>
      <w:r w:rsidRPr="005C3359">
        <w:rPr>
          <w:rFonts w:ascii="Arial" w:eastAsia="Times New Roman" w:hAnsi="Arial" w:cs="Arial"/>
          <w:color w:val="212529"/>
          <w:sz w:val="28"/>
          <w:szCs w:val="28"/>
          <w:lang w:eastAsia="tr-TR"/>
        </w:rPr>
        <w:t xml:space="preserve"> ücretsiz tahsisatlar 2026-2034 döneminde belirli bir indirim takvimi çerçevesinde kaldırılırken, aynı zamanda SKDM mali yükümlülükleri bu oranda artacaktır.</w:t>
      </w:r>
      <w:r w:rsidRPr="005C3359">
        <w:rPr>
          <w:rFonts w:ascii="Arial" w:eastAsia="Times New Roman" w:hAnsi="Arial" w:cs="Arial"/>
          <w:color w:val="212529"/>
          <w:sz w:val="28"/>
          <w:szCs w:val="28"/>
          <w:lang w:eastAsia="tr-TR"/>
        </w:rPr>
        <w:br/>
      </w:r>
      <w:r w:rsidRPr="005C3359">
        <w:rPr>
          <w:rFonts w:ascii="Arial" w:eastAsia="Times New Roman" w:hAnsi="Arial" w:cs="Arial"/>
          <w:color w:val="212529"/>
          <w:sz w:val="28"/>
          <w:szCs w:val="28"/>
          <w:lang w:eastAsia="tr-TR"/>
        </w:rPr>
        <w:lastRenderedPageBreak/>
        <w:t> </w:t>
      </w:r>
      <w:r w:rsidRPr="005C3359">
        <w:rPr>
          <w:rFonts w:ascii="Arial" w:eastAsia="Times New Roman" w:hAnsi="Arial" w:cs="Arial"/>
          <w:color w:val="212529"/>
          <w:sz w:val="28"/>
          <w:szCs w:val="28"/>
          <w:lang w:eastAsia="tr-TR"/>
        </w:rPr>
        <w:br/>
        <w:t>Uygulama esaslarına ilişkin ikincil düzenlemeler geçiş dönemi içinde yürürlüğe konulacak olup, bu alandaki mevzuat çalışmalarının takibi önemlidir.</w:t>
      </w:r>
      <w:r w:rsidRPr="005C3359">
        <w:rPr>
          <w:rFonts w:ascii="Arial" w:eastAsia="Times New Roman" w:hAnsi="Arial" w:cs="Arial"/>
          <w:color w:val="212529"/>
          <w:sz w:val="28"/>
          <w:szCs w:val="28"/>
          <w:lang w:eastAsia="tr-TR"/>
        </w:rPr>
        <w:br/>
        <w:t> </w:t>
      </w:r>
      <w:r w:rsidRPr="005C3359">
        <w:rPr>
          <w:rFonts w:ascii="Arial" w:eastAsia="Times New Roman" w:hAnsi="Arial" w:cs="Arial"/>
          <w:color w:val="212529"/>
          <w:sz w:val="28"/>
          <w:szCs w:val="28"/>
          <w:lang w:eastAsia="tr-TR"/>
        </w:rPr>
        <w:br/>
        <w:t>Bu kapsamda, iş insanlarımız tarafından dikkate alınmasında fayda görülen Avrupa Yeşil Mutabakatı kapsamındaki temel strateji belgeleri aşağıda sıralanmaktadır:</w:t>
      </w:r>
    </w:p>
    <w:p w:rsidR="005C3359" w:rsidRPr="005C3359" w:rsidRDefault="005C3359" w:rsidP="005C3359">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8"/>
          <w:szCs w:val="28"/>
          <w:lang w:eastAsia="tr-TR"/>
        </w:rPr>
      </w:pPr>
      <w:hyperlink r:id="rId6" w:history="1">
        <w:r w:rsidRPr="005C3359">
          <w:rPr>
            <w:rFonts w:ascii="Arial" w:eastAsia="Times New Roman" w:hAnsi="Arial" w:cs="Arial"/>
            <w:color w:val="007BFF"/>
            <w:sz w:val="28"/>
            <w:szCs w:val="28"/>
            <w:lang w:eastAsia="tr-TR"/>
          </w:rPr>
          <w:t>Avrupa Yeşil Mutabakatı web sayfası</w:t>
        </w:r>
      </w:hyperlink>
    </w:p>
    <w:p w:rsidR="005C3359" w:rsidRPr="005C3359" w:rsidRDefault="005C3359" w:rsidP="005C3359">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8"/>
          <w:szCs w:val="28"/>
          <w:lang w:eastAsia="tr-TR"/>
        </w:rPr>
      </w:pPr>
      <w:hyperlink r:id="rId7" w:history="1">
        <w:r w:rsidRPr="005C3359">
          <w:rPr>
            <w:rFonts w:ascii="Arial" w:eastAsia="Times New Roman" w:hAnsi="Arial" w:cs="Arial"/>
            <w:color w:val="007BFF"/>
            <w:sz w:val="28"/>
            <w:szCs w:val="28"/>
            <w:lang w:eastAsia="tr-TR"/>
          </w:rPr>
          <w:t>AB İklim Yasası</w:t>
        </w:r>
      </w:hyperlink>
    </w:p>
    <w:p w:rsidR="005C3359" w:rsidRPr="005C3359" w:rsidRDefault="005C3359" w:rsidP="005C3359">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8"/>
          <w:szCs w:val="28"/>
          <w:lang w:eastAsia="tr-TR"/>
        </w:rPr>
      </w:pPr>
      <w:hyperlink r:id="rId8" w:history="1">
        <w:r w:rsidRPr="005C3359">
          <w:rPr>
            <w:rFonts w:ascii="Arial" w:eastAsia="Times New Roman" w:hAnsi="Arial" w:cs="Arial"/>
            <w:color w:val="007BFF"/>
            <w:sz w:val="28"/>
            <w:szCs w:val="28"/>
            <w:lang w:eastAsia="tr-TR"/>
          </w:rPr>
          <w:t>Avrupa Yeşil Mutabakatı Metni</w:t>
        </w:r>
      </w:hyperlink>
      <w:r w:rsidRPr="005C3359">
        <w:rPr>
          <w:rFonts w:ascii="Arial" w:eastAsia="Times New Roman" w:hAnsi="Arial" w:cs="Arial"/>
          <w:color w:val="212529"/>
          <w:sz w:val="28"/>
          <w:szCs w:val="28"/>
          <w:lang w:eastAsia="tr-TR"/>
        </w:rPr>
        <w:t>:</w:t>
      </w:r>
    </w:p>
    <w:p w:rsidR="005C3359" w:rsidRPr="005C3359" w:rsidRDefault="005C3359" w:rsidP="005C3359">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8"/>
          <w:szCs w:val="28"/>
          <w:lang w:eastAsia="tr-TR"/>
        </w:rPr>
      </w:pPr>
      <w:hyperlink r:id="rId9" w:history="1">
        <w:r w:rsidRPr="005C3359">
          <w:rPr>
            <w:rFonts w:ascii="Arial" w:eastAsia="Times New Roman" w:hAnsi="Arial" w:cs="Arial"/>
            <w:color w:val="007BFF"/>
            <w:sz w:val="28"/>
            <w:szCs w:val="28"/>
            <w:lang w:eastAsia="tr-TR"/>
          </w:rPr>
          <w:t xml:space="preserve">55’e Uyum (Fit </w:t>
        </w:r>
        <w:proofErr w:type="spellStart"/>
        <w:r w:rsidRPr="005C3359">
          <w:rPr>
            <w:rFonts w:ascii="Arial" w:eastAsia="Times New Roman" w:hAnsi="Arial" w:cs="Arial"/>
            <w:color w:val="007BFF"/>
            <w:sz w:val="28"/>
            <w:szCs w:val="28"/>
            <w:lang w:eastAsia="tr-TR"/>
          </w:rPr>
          <w:t>for</w:t>
        </w:r>
        <w:proofErr w:type="spellEnd"/>
        <w:r w:rsidRPr="005C3359">
          <w:rPr>
            <w:rFonts w:ascii="Arial" w:eastAsia="Times New Roman" w:hAnsi="Arial" w:cs="Arial"/>
            <w:color w:val="007BFF"/>
            <w:sz w:val="28"/>
            <w:szCs w:val="28"/>
            <w:lang w:eastAsia="tr-TR"/>
          </w:rPr>
          <w:t xml:space="preserve"> 55) Paketi</w:t>
        </w:r>
      </w:hyperlink>
    </w:p>
    <w:p w:rsidR="005C3359" w:rsidRPr="005C3359" w:rsidRDefault="005C3359" w:rsidP="005C3359">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8"/>
          <w:szCs w:val="28"/>
          <w:lang w:eastAsia="tr-TR"/>
        </w:rPr>
      </w:pPr>
      <w:hyperlink r:id="rId10" w:history="1">
        <w:r w:rsidRPr="005C3359">
          <w:rPr>
            <w:rFonts w:ascii="Arial" w:eastAsia="Times New Roman" w:hAnsi="Arial" w:cs="Arial"/>
            <w:color w:val="007BFF"/>
            <w:sz w:val="28"/>
            <w:szCs w:val="28"/>
            <w:lang w:eastAsia="tr-TR"/>
          </w:rPr>
          <w:t>Taslak SKDM mevzuat metni</w:t>
        </w:r>
      </w:hyperlink>
      <w:r w:rsidRPr="005C3359">
        <w:rPr>
          <w:rFonts w:ascii="Arial" w:eastAsia="Times New Roman" w:hAnsi="Arial" w:cs="Arial"/>
          <w:color w:val="212529"/>
          <w:sz w:val="28"/>
          <w:szCs w:val="28"/>
          <w:lang w:eastAsia="tr-TR"/>
        </w:rPr>
        <w:t> (resmi onay süreci devam etmektedir)</w:t>
      </w:r>
    </w:p>
    <w:p w:rsidR="005C3359" w:rsidRDefault="005C3359" w:rsidP="005C3359">
      <w:pPr>
        <w:shd w:val="clear" w:color="auto" w:fill="FFFFFF"/>
        <w:spacing w:after="100" w:afterAutospacing="1" w:line="240" w:lineRule="auto"/>
        <w:jc w:val="both"/>
        <w:rPr>
          <w:rFonts w:ascii="Arial" w:eastAsia="Times New Roman" w:hAnsi="Arial" w:cs="Arial"/>
          <w:color w:val="212529"/>
          <w:sz w:val="28"/>
          <w:szCs w:val="28"/>
          <w:lang w:eastAsia="tr-TR"/>
        </w:rPr>
      </w:pPr>
      <w:r w:rsidRPr="005C3359">
        <w:rPr>
          <w:rFonts w:ascii="Arial" w:eastAsia="Times New Roman" w:hAnsi="Arial" w:cs="Arial"/>
          <w:color w:val="212529"/>
          <w:sz w:val="28"/>
          <w:szCs w:val="28"/>
          <w:lang w:eastAsia="tr-TR"/>
        </w:rPr>
        <w:t>Yeşil Mutabakatın ana unsurlarından bir diğeri ise ilgili tüm ürün mevzuatına etki edecek olan döngüsel ekonomidir. Bu ana tema altında, 10 Mart 2020 tarihinde AB </w:t>
      </w:r>
      <w:hyperlink r:id="rId11" w:history="1">
        <w:r w:rsidRPr="005C3359">
          <w:rPr>
            <w:rFonts w:ascii="Arial" w:eastAsia="Times New Roman" w:hAnsi="Arial" w:cs="Arial"/>
            <w:color w:val="007BFF"/>
            <w:sz w:val="28"/>
            <w:szCs w:val="28"/>
            <w:lang w:eastAsia="tr-TR"/>
          </w:rPr>
          <w:t>Yeni Sanayi Stratejisi</w:t>
        </w:r>
      </w:hyperlink>
      <w:r w:rsidRPr="005C3359">
        <w:rPr>
          <w:rFonts w:ascii="Arial" w:eastAsia="Times New Roman" w:hAnsi="Arial" w:cs="Arial"/>
          <w:color w:val="212529"/>
          <w:sz w:val="28"/>
          <w:szCs w:val="28"/>
          <w:lang w:eastAsia="tr-TR"/>
        </w:rPr>
        <w:t>, 11 Mart 2020 tarihinde ise </w:t>
      </w:r>
      <w:hyperlink r:id="rId12" w:history="1">
        <w:r w:rsidRPr="005C3359">
          <w:rPr>
            <w:rFonts w:ascii="Arial" w:eastAsia="Times New Roman" w:hAnsi="Arial" w:cs="Arial"/>
            <w:color w:val="007BFF"/>
            <w:sz w:val="28"/>
            <w:szCs w:val="28"/>
            <w:lang w:eastAsia="tr-TR"/>
          </w:rPr>
          <w:t>Döngüsel Ekonomi Eylem Planı</w:t>
        </w:r>
      </w:hyperlink>
      <w:r w:rsidRPr="005C3359">
        <w:rPr>
          <w:rFonts w:ascii="Arial" w:eastAsia="Times New Roman" w:hAnsi="Arial" w:cs="Arial"/>
          <w:color w:val="212529"/>
          <w:sz w:val="28"/>
          <w:szCs w:val="28"/>
          <w:lang w:eastAsia="tr-TR"/>
        </w:rPr>
        <w:t> açıklanmıştır. Böylece AB, hammadde temini aşamasından ürünlerin üretimi, tüketimi ve atık yönetimine dair döngüsel bir yaklaşım ile yeni kurallar getirileceğini açıklamış, </w:t>
      </w:r>
      <w:r w:rsidRPr="005C3359">
        <w:rPr>
          <w:rFonts w:ascii="Arial" w:eastAsia="Times New Roman" w:hAnsi="Arial" w:cs="Arial"/>
          <w:b/>
          <w:bCs/>
          <w:color w:val="212529"/>
          <w:sz w:val="28"/>
          <w:szCs w:val="28"/>
          <w:lang w:eastAsia="tr-TR"/>
        </w:rPr>
        <w:t>elektronik ve bilişim teknolojileri, piller ve araçlar, ambalaj, plastikler, tekstil, yapı ve inşaat, gıda, su ve besinler</w:t>
      </w:r>
      <w:r w:rsidRPr="005C3359">
        <w:rPr>
          <w:rFonts w:ascii="Arial" w:eastAsia="Times New Roman" w:hAnsi="Arial" w:cs="Arial"/>
          <w:color w:val="212529"/>
          <w:sz w:val="28"/>
          <w:szCs w:val="28"/>
          <w:lang w:eastAsia="tr-TR"/>
        </w:rPr>
        <w:t> öncelikli sek</w:t>
      </w:r>
      <w:r>
        <w:rPr>
          <w:rFonts w:ascii="Arial" w:eastAsia="Times New Roman" w:hAnsi="Arial" w:cs="Arial"/>
          <w:color w:val="212529"/>
          <w:sz w:val="28"/>
          <w:szCs w:val="28"/>
          <w:lang w:eastAsia="tr-TR"/>
        </w:rPr>
        <w:t>törler olarak belirlenmiştir.</w:t>
      </w:r>
    </w:p>
    <w:p w:rsidR="005C3359" w:rsidRDefault="005C3359" w:rsidP="005C3359">
      <w:pPr>
        <w:shd w:val="clear" w:color="auto" w:fill="FFFFFF"/>
        <w:spacing w:after="100" w:afterAutospacing="1" w:line="240" w:lineRule="auto"/>
        <w:jc w:val="both"/>
        <w:rPr>
          <w:rFonts w:ascii="Arial" w:eastAsia="Times New Roman" w:hAnsi="Arial" w:cs="Arial"/>
          <w:color w:val="212529"/>
          <w:sz w:val="28"/>
          <w:szCs w:val="28"/>
          <w:lang w:eastAsia="tr-TR"/>
        </w:rPr>
      </w:pPr>
      <w:r w:rsidRPr="005C3359">
        <w:rPr>
          <w:rFonts w:ascii="Arial" w:eastAsia="Times New Roman" w:hAnsi="Arial" w:cs="Arial"/>
          <w:color w:val="212529"/>
          <w:sz w:val="28"/>
          <w:szCs w:val="28"/>
          <w:lang w:eastAsia="tr-TR"/>
        </w:rPr>
        <w:t>Gümrük Birliği kapsamında ülkemizce uyum sağlanan ürün mevzuatında önemli değişiklikler getirecek olan ve 30 Mart 2022 tarihinde açıklanan </w:t>
      </w:r>
      <w:hyperlink r:id="rId13" w:history="1">
        <w:r w:rsidRPr="005C3359">
          <w:rPr>
            <w:rFonts w:ascii="Arial" w:eastAsia="Times New Roman" w:hAnsi="Arial" w:cs="Arial"/>
            <w:color w:val="007BFF"/>
            <w:sz w:val="28"/>
            <w:szCs w:val="28"/>
            <w:lang w:eastAsia="tr-TR"/>
          </w:rPr>
          <w:t>Sürdürülebilir Ürün İnisiyatifi</w:t>
        </w:r>
      </w:hyperlink>
      <w:r w:rsidRPr="005C3359">
        <w:rPr>
          <w:rFonts w:ascii="Arial" w:eastAsia="Times New Roman" w:hAnsi="Arial" w:cs="Arial"/>
          <w:color w:val="212529"/>
          <w:sz w:val="28"/>
          <w:szCs w:val="28"/>
          <w:lang w:eastAsia="tr-TR"/>
        </w:rPr>
        <w:t> ile gıda, yem ve medikal ürünler haricinde tüm ürün grupları için sürdürülebilirliğin bir norm olara</w:t>
      </w:r>
      <w:r>
        <w:rPr>
          <w:rFonts w:ascii="Arial" w:eastAsia="Times New Roman" w:hAnsi="Arial" w:cs="Arial"/>
          <w:color w:val="212529"/>
          <w:sz w:val="28"/>
          <w:szCs w:val="28"/>
          <w:lang w:eastAsia="tr-TR"/>
        </w:rPr>
        <w:t>k belirlenmesi amaçlanmıştır.</w:t>
      </w:r>
    </w:p>
    <w:p w:rsidR="005C3359" w:rsidRDefault="005C3359" w:rsidP="005C3359">
      <w:pPr>
        <w:shd w:val="clear" w:color="auto" w:fill="FFFFFF"/>
        <w:spacing w:after="100" w:afterAutospacing="1" w:line="240" w:lineRule="auto"/>
        <w:jc w:val="both"/>
        <w:rPr>
          <w:rFonts w:ascii="Arial" w:eastAsia="Times New Roman" w:hAnsi="Arial" w:cs="Arial"/>
          <w:color w:val="212529"/>
          <w:sz w:val="28"/>
          <w:szCs w:val="28"/>
          <w:lang w:eastAsia="tr-TR"/>
        </w:rPr>
      </w:pPr>
      <w:r w:rsidRPr="005C3359">
        <w:rPr>
          <w:rFonts w:ascii="Arial" w:eastAsia="Times New Roman" w:hAnsi="Arial" w:cs="Arial"/>
          <w:color w:val="212529"/>
          <w:sz w:val="28"/>
          <w:szCs w:val="28"/>
          <w:lang w:eastAsia="tr-TR"/>
        </w:rPr>
        <w:t>Bu çerçevede açıklanan </w:t>
      </w:r>
      <w:hyperlink r:id="rId14" w:history="1">
        <w:r w:rsidRPr="005C3359">
          <w:rPr>
            <w:rFonts w:ascii="Arial" w:eastAsia="Times New Roman" w:hAnsi="Arial" w:cs="Arial"/>
            <w:color w:val="007BFF"/>
            <w:sz w:val="28"/>
            <w:szCs w:val="28"/>
            <w:lang w:eastAsia="tr-TR"/>
          </w:rPr>
          <w:t>Yeni Eko-Tasarım Tüzüğü Taslağı</w:t>
        </w:r>
      </w:hyperlink>
      <w:r w:rsidRPr="005C3359">
        <w:rPr>
          <w:rFonts w:ascii="Arial" w:eastAsia="Times New Roman" w:hAnsi="Arial" w:cs="Arial"/>
          <w:color w:val="212529"/>
          <w:sz w:val="28"/>
          <w:szCs w:val="28"/>
          <w:lang w:eastAsia="tr-TR"/>
        </w:rPr>
        <w:t xml:space="preserve"> ile ürünlerin daha dayanıklı, tamir edilebilir, karbon emisyonu düşük, zararlı kimyasallardan </w:t>
      </w:r>
      <w:proofErr w:type="gramStart"/>
      <w:r w:rsidRPr="005C3359">
        <w:rPr>
          <w:rFonts w:ascii="Arial" w:eastAsia="Times New Roman" w:hAnsi="Arial" w:cs="Arial"/>
          <w:color w:val="212529"/>
          <w:sz w:val="28"/>
          <w:szCs w:val="28"/>
          <w:lang w:eastAsia="tr-TR"/>
        </w:rPr>
        <w:t>ari</w:t>
      </w:r>
      <w:proofErr w:type="gramEnd"/>
      <w:r w:rsidRPr="005C3359">
        <w:rPr>
          <w:rFonts w:ascii="Arial" w:eastAsia="Times New Roman" w:hAnsi="Arial" w:cs="Arial"/>
          <w:color w:val="212529"/>
          <w:sz w:val="28"/>
          <w:szCs w:val="28"/>
          <w:lang w:eastAsia="tr-TR"/>
        </w:rPr>
        <w:t>, geri dönüştürülebilir olmasına yönelik AB düzeyinde ortak kurallar belirlenmesi, bu doğrultuda ürünlerin AB piyasasına arzı için karşılaması gereken standartların sürdürülebilirlik ekseninde şekillendirilmesi, ürüne ilişkin söz konusu bilgilerin tüketici, piyasa gözetimi otoriteleri, geri dönüşüm sektörünce kolayca ulaşılabilir olmasını sağlamak üzere ürüne eşlik edecek “</w:t>
      </w:r>
      <w:r w:rsidRPr="005C3359">
        <w:rPr>
          <w:rFonts w:ascii="Arial" w:eastAsia="Times New Roman" w:hAnsi="Arial" w:cs="Arial"/>
          <w:b/>
          <w:bCs/>
          <w:color w:val="212529"/>
          <w:sz w:val="28"/>
          <w:szCs w:val="28"/>
          <w:lang w:eastAsia="tr-TR"/>
        </w:rPr>
        <w:t>dijital ürün pasaportları</w:t>
      </w:r>
      <w:r w:rsidRPr="005C3359">
        <w:rPr>
          <w:rFonts w:ascii="Arial" w:eastAsia="Times New Roman" w:hAnsi="Arial" w:cs="Arial"/>
          <w:color w:val="212529"/>
          <w:sz w:val="28"/>
          <w:szCs w:val="28"/>
          <w:lang w:eastAsia="tr-TR"/>
        </w:rPr>
        <w:t>” geliştirilmesi, zorunlu yeşil kamu alımları kriterleri getirilmesi amaçlanmıştır.</w:t>
      </w:r>
      <w:r w:rsidRPr="005C3359">
        <w:rPr>
          <w:rFonts w:ascii="Arial" w:eastAsia="Times New Roman" w:hAnsi="Arial" w:cs="Arial"/>
          <w:color w:val="212529"/>
          <w:sz w:val="28"/>
          <w:szCs w:val="28"/>
          <w:lang w:eastAsia="tr-TR"/>
        </w:rPr>
        <w:br/>
        <w:t> </w:t>
      </w:r>
      <w:r w:rsidRPr="005C3359">
        <w:rPr>
          <w:rFonts w:ascii="Arial" w:eastAsia="Times New Roman" w:hAnsi="Arial" w:cs="Arial"/>
          <w:color w:val="212529"/>
          <w:sz w:val="28"/>
          <w:szCs w:val="28"/>
          <w:lang w:eastAsia="tr-TR"/>
        </w:rPr>
        <w:br/>
        <w:t>Bu çerçevede, AB’nin Döngüsel Ekonomi Eylem Planı kapsamında öncelikli ürün gruplarından başlamak üzere tüm ürünlere yönelik mevzuat tasarıları hazırlaması öngörülmekte olup, ilk aşamada </w:t>
      </w:r>
      <w:hyperlink r:id="rId15" w:history="1">
        <w:r w:rsidRPr="005C3359">
          <w:rPr>
            <w:rFonts w:ascii="Arial" w:eastAsia="Times New Roman" w:hAnsi="Arial" w:cs="Arial"/>
            <w:color w:val="007BFF"/>
            <w:sz w:val="28"/>
            <w:szCs w:val="28"/>
            <w:lang w:eastAsia="tr-TR"/>
          </w:rPr>
          <w:t>batarya</w:t>
        </w:r>
      </w:hyperlink>
      <w:r w:rsidRPr="005C3359">
        <w:rPr>
          <w:rFonts w:ascii="Arial" w:eastAsia="Times New Roman" w:hAnsi="Arial" w:cs="Arial"/>
          <w:color w:val="212529"/>
          <w:sz w:val="28"/>
          <w:szCs w:val="28"/>
          <w:lang w:eastAsia="tr-TR"/>
        </w:rPr>
        <w:t>, </w:t>
      </w:r>
      <w:hyperlink r:id="rId16" w:history="1">
        <w:r w:rsidRPr="005C3359">
          <w:rPr>
            <w:rFonts w:ascii="Arial" w:eastAsia="Times New Roman" w:hAnsi="Arial" w:cs="Arial"/>
            <w:color w:val="007BFF"/>
            <w:sz w:val="28"/>
            <w:szCs w:val="28"/>
            <w:lang w:eastAsia="tr-TR"/>
          </w:rPr>
          <w:t>tekstil</w:t>
        </w:r>
      </w:hyperlink>
      <w:r w:rsidRPr="005C3359">
        <w:rPr>
          <w:rFonts w:ascii="Arial" w:eastAsia="Times New Roman" w:hAnsi="Arial" w:cs="Arial"/>
          <w:color w:val="212529"/>
          <w:sz w:val="28"/>
          <w:szCs w:val="28"/>
          <w:lang w:eastAsia="tr-TR"/>
        </w:rPr>
        <w:t>, </w:t>
      </w:r>
      <w:hyperlink r:id="rId17" w:history="1">
        <w:r w:rsidRPr="005C3359">
          <w:rPr>
            <w:rFonts w:ascii="Arial" w:eastAsia="Times New Roman" w:hAnsi="Arial" w:cs="Arial"/>
            <w:color w:val="007BFF"/>
            <w:sz w:val="28"/>
            <w:szCs w:val="28"/>
            <w:lang w:eastAsia="tr-TR"/>
          </w:rPr>
          <w:t>yapı malzemeleri</w:t>
        </w:r>
      </w:hyperlink>
      <w:r w:rsidRPr="005C3359">
        <w:rPr>
          <w:rFonts w:ascii="Arial" w:eastAsia="Times New Roman" w:hAnsi="Arial" w:cs="Arial"/>
          <w:color w:val="212529"/>
          <w:sz w:val="28"/>
          <w:szCs w:val="28"/>
          <w:lang w:eastAsia="tr-TR"/>
        </w:rPr>
        <w:t>, </w:t>
      </w:r>
      <w:hyperlink r:id="rId18" w:anchor="review" w:history="1">
        <w:r w:rsidRPr="005C3359">
          <w:rPr>
            <w:rFonts w:ascii="Arial" w:eastAsia="Times New Roman" w:hAnsi="Arial" w:cs="Arial"/>
            <w:color w:val="007BFF"/>
            <w:sz w:val="28"/>
            <w:szCs w:val="28"/>
            <w:lang w:eastAsia="tr-TR"/>
          </w:rPr>
          <w:t>ambalaj ve ambalaj atıklarına</w:t>
        </w:r>
      </w:hyperlink>
      <w:r w:rsidRPr="005C3359">
        <w:rPr>
          <w:rFonts w:ascii="Arial" w:eastAsia="Times New Roman" w:hAnsi="Arial" w:cs="Arial"/>
          <w:color w:val="212529"/>
          <w:sz w:val="28"/>
          <w:szCs w:val="28"/>
          <w:lang w:eastAsia="tr-TR"/>
        </w:rPr>
        <w:t xml:space="preserve"> ilişkin mevzuat taslakları/stratejiler yayımlanmıştır. Anılan taslaklarla, söz konusu ürün gruplarının tasarımından atık haline gelene kadar yaşam döngüsünün tamamını ilgilendirecek zorunlu gereklilikler ve sürdürülebilirlik </w:t>
      </w:r>
      <w:proofErr w:type="gramStart"/>
      <w:r w:rsidRPr="005C3359">
        <w:rPr>
          <w:rFonts w:ascii="Arial" w:eastAsia="Times New Roman" w:hAnsi="Arial" w:cs="Arial"/>
          <w:color w:val="212529"/>
          <w:sz w:val="28"/>
          <w:szCs w:val="28"/>
          <w:lang w:eastAsia="tr-TR"/>
        </w:rPr>
        <w:t>kriterlerinin</w:t>
      </w:r>
      <w:proofErr w:type="gramEnd"/>
      <w:r w:rsidRPr="005C3359">
        <w:rPr>
          <w:rFonts w:ascii="Arial" w:eastAsia="Times New Roman" w:hAnsi="Arial" w:cs="Arial"/>
          <w:color w:val="212529"/>
          <w:sz w:val="28"/>
          <w:szCs w:val="28"/>
          <w:lang w:eastAsia="tr-TR"/>
        </w:rPr>
        <w:t xml:space="preserve"> genel çerçevesinin belirlenmesi amaçlanmıştır.</w:t>
      </w:r>
      <w:r w:rsidRPr="005C3359">
        <w:rPr>
          <w:rFonts w:ascii="Arial" w:eastAsia="Times New Roman" w:hAnsi="Arial" w:cs="Arial"/>
          <w:color w:val="212529"/>
          <w:sz w:val="28"/>
          <w:szCs w:val="28"/>
          <w:lang w:eastAsia="tr-TR"/>
        </w:rPr>
        <w:br/>
        <w:t> </w:t>
      </w:r>
      <w:r w:rsidRPr="005C3359">
        <w:rPr>
          <w:rFonts w:ascii="Arial" w:eastAsia="Times New Roman" w:hAnsi="Arial" w:cs="Arial"/>
          <w:color w:val="212529"/>
          <w:sz w:val="28"/>
          <w:szCs w:val="28"/>
          <w:lang w:eastAsia="tr-TR"/>
        </w:rPr>
        <w:br/>
      </w:r>
      <w:proofErr w:type="gramStart"/>
      <w:r w:rsidRPr="005C3359">
        <w:rPr>
          <w:rFonts w:ascii="Arial" w:eastAsia="Times New Roman" w:hAnsi="Arial" w:cs="Arial"/>
          <w:color w:val="212529"/>
          <w:sz w:val="28"/>
          <w:szCs w:val="28"/>
          <w:lang w:eastAsia="tr-TR"/>
        </w:rPr>
        <w:t>AB tarafından </w:t>
      </w:r>
      <w:r w:rsidRPr="005C3359">
        <w:rPr>
          <w:rFonts w:ascii="Arial" w:eastAsia="Times New Roman" w:hAnsi="Arial" w:cs="Arial"/>
          <w:b/>
          <w:bCs/>
          <w:color w:val="212529"/>
          <w:sz w:val="28"/>
          <w:szCs w:val="28"/>
          <w:lang w:eastAsia="tr-TR"/>
        </w:rPr>
        <w:t>1 Şubat 2023</w:t>
      </w:r>
      <w:r w:rsidRPr="005C3359">
        <w:rPr>
          <w:rFonts w:ascii="Arial" w:eastAsia="Times New Roman" w:hAnsi="Arial" w:cs="Arial"/>
          <w:color w:val="212529"/>
          <w:sz w:val="28"/>
          <w:szCs w:val="28"/>
          <w:lang w:eastAsia="tr-TR"/>
        </w:rPr>
        <w:t> tarihinde açıklanan </w:t>
      </w:r>
      <w:r w:rsidRPr="005C3359">
        <w:rPr>
          <w:rFonts w:ascii="Arial" w:eastAsia="Times New Roman" w:hAnsi="Arial" w:cs="Arial"/>
          <w:b/>
          <w:bCs/>
          <w:color w:val="212529"/>
          <w:sz w:val="28"/>
          <w:szCs w:val="28"/>
          <w:u w:val="single"/>
          <w:lang w:eastAsia="tr-TR"/>
        </w:rPr>
        <w:t>Yeşil Mutabakat Sanayi Planı</w:t>
      </w:r>
      <w:r w:rsidRPr="005C3359">
        <w:rPr>
          <w:rFonts w:ascii="Arial" w:eastAsia="Times New Roman" w:hAnsi="Arial" w:cs="Arial"/>
          <w:color w:val="212529"/>
          <w:sz w:val="28"/>
          <w:szCs w:val="28"/>
          <w:lang w:eastAsia="tr-TR"/>
        </w:rPr>
        <w:t> ile de sanayi sektörünün yeşil dönüşümü ve rekabet edebilirliğini ve ekonominin dönüşümüne yönelik yatırımları sağlamak için bir politika çerçevesi çizilmiş olup, Planın, Avrupa Yeşil Mutabakatı, AB Sanayi Stratejisi ve özellikle Döngüsel Ekonomi Eylem Planı kapsamında sanayiyi dönüştürmeye yönelik sürdürülen çabala</w:t>
      </w:r>
      <w:r>
        <w:rPr>
          <w:rFonts w:ascii="Arial" w:eastAsia="Times New Roman" w:hAnsi="Arial" w:cs="Arial"/>
          <w:color w:val="212529"/>
          <w:sz w:val="28"/>
          <w:szCs w:val="28"/>
          <w:lang w:eastAsia="tr-TR"/>
        </w:rPr>
        <w:t>rı tamamlaması öngörülmektedir.</w:t>
      </w:r>
      <w:proofErr w:type="gramEnd"/>
    </w:p>
    <w:p w:rsidR="005C3359" w:rsidRPr="005C3359" w:rsidRDefault="005C3359" w:rsidP="005C3359">
      <w:pPr>
        <w:shd w:val="clear" w:color="auto" w:fill="FFFFFF"/>
        <w:spacing w:after="100" w:afterAutospacing="1" w:line="240" w:lineRule="auto"/>
        <w:jc w:val="both"/>
        <w:rPr>
          <w:rFonts w:ascii="Arial" w:eastAsia="Times New Roman" w:hAnsi="Arial" w:cs="Arial"/>
          <w:color w:val="212529"/>
          <w:sz w:val="28"/>
          <w:szCs w:val="28"/>
          <w:lang w:eastAsia="tr-TR"/>
        </w:rPr>
      </w:pPr>
      <w:r w:rsidRPr="005C3359">
        <w:rPr>
          <w:rFonts w:ascii="Arial" w:eastAsia="Times New Roman" w:hAnsi="Arial" w:cs="Arial"/>
          <w:color w:val="212529"/>
          <w:sz w:val="28"/>
          <w:szCs w:val="28"/>
          <w:lang w:eastAsia="tr-TR"/>
        </w:rPr>
        <w:t>Öte yandan, AB tarafından açıklanan </w:t>
      </w:r>
      <w:hyperlink r:id="rId19" w:history="1">
        <w:r w:rsidRPr="005C3359">
          <w:rPr>
            <w:rFonts w:ascii="Arial" w:eastAsia="Times New Roman" w:hAnsi="Arial" w:cs="Arial"/>
            <w:color w:val="007BFF"/>
            <w:sz w:val="28"/>
            <w:szCs w:val="28"/>
            <w:lang w:eastAsia="tr-TR"/>
          </w:rPr>
          <w:t>Atık Sevkiyatı Tüzüğü Taslağı</w:t>
        </w:r>
      </w:hyperlink>
      <w:r w:rsidRPr="005C3359">
        <w:rPr>
          <w:rFonts w:ascii="Arial" w:eastAsia="Times New Roman" w:hAnsi="Arial" w:cs="Arial"/>
          <w:color w:val="212529"/>
          <w:sz w:val="28"/>
          <w:szCs w:val="28"/>
          <w:lang w:eastAsia="tr-TR"/>
        </w:rPr>
        <w:t> </w:t>
      </w:r>
      <w:proofErr w:type="gramStart"/>
      <w:r w:rsidRPr="005C3359">
        <w:rPr>
          <w:rFonts w:ascii="Arial" w:eastAsia="Times New Roman" w:hAnsi="Arial" w:cs="Arial"/>
          <w:color w:val="212529"/>
          <w:sz w:val="28"/>
          <w:szCs w:val="28"/>
          <w:lang w:eastAsia="tr-TR"/>
        </w:rPr>
        <w:t>ile ,AB</w:t>
      </w:r>
      <w:proofErr w:type="gramEnd"/>
      <w:r w:rsidRPr="005C3359">
        <w:rPr>
          <w:rFonts w:ascii="Arial" w:eastAsia="Times New Roman" w:hAnsi="Arial" w:cs="Arial"/>
          <w:color w:val="212529"/>
          <w:sz w:val="28"/>
          <w:szCs w:val="28"/>
          <w:lang w:eastAsia="tr-TR"/>
        </w:rPr>
        <w:t xml:space="preserve"> bir taraftan üçüncü ülkelere kontrolsüz atık ihracatını kontrol altına almayı hedeflediğini açıklarken, diğer yandan AB içindeki mevcut atıkların bir kaynak olarak ekonomiye kazandırılması ve döngüsel ekonomi hedeflerinin desteklenmesinin amaçlandığı görülmektedir.  </w:t>
      </w:r>
      <w:r w:rsidRPr="005C3359">
        <w:rPr>
          <w:rFonts w:ascii="Arial" w:eastAsia="Times New Roman" w:hAnsi="Arial" w:cs="Arial"/>
          <w:color w:val="212529"/>
          <w:sz w:val="28"/>
          <w:szCs w:val="28"/>
          <w:lang w:eastAsia="tr-TR"/>
        </w:rPr>
        <w:br/>
        <w:t> </w:t>
      </w:r>
      <w:r w:rsidRPr="005C3359">
        <w:rPr>
          <w:rFonts w:ascii="Arial" w:eastAsia="Times New Roman" w:hAnsi="Arial" w:cs="Arial"/>
          <w:color w:val="212529"/>
          <w:sz w:val="28"/>
          <w:szCs w:val="28"/>
          <w:lang w:eastAsia="tr-TR"/>
        </w:rPr>
        <w:br/>
        <w:t>AB tarafından önümüzdeki dönemde açıklanacak mevzuat taslakları ile açıklanan taslakların son durumlarına ilişkin bilginin </w:t>
      </w:r>
      <w:hyperlink r:id="rId20" w:history="1">
        <w:r w:rsidRPr="005C3359">
          <w:rPr>
            <w:rFonts w:ascii="Arial" w:eastAsia="Times New Roman" w:hAnsi="Arial" w:cs="Arial"/>
            <w:color w:val="007BFF"/>
            <w:sz w:val="28"/>
            <w:szCs w:val="28"/>
            <w:lang w:eastAsia="tr-TR"/>
          </w:rPr>
          <w:t>Döngüsel Ekonomi Eylem Planı</w:t>
        </w:r>
      </w:hyperlink>
      <w:r w:rsidRPr="005C3359">
        <w:rPr>
          <w:rFonts w:ascii="Arial" w:eastAsia="Times New Roman" w:hAnsi="Arial" w:cs="Arial"/>
          <w:color w:val="212529"/>
          <w:sz w:val="28"/>
          <w:szCs w:val="28"/>
          <w:lang w:eastAsia="tr-TR"/>
        </w:rPr>
        <w:t> sayfasından takibi mümkündür.</w:t>
      </w:r>
    </w:p>
    <w:p w:rsidR="00960664" w:rsidRPr="005C3359" w:rsidRDefault="00960664">
      <w:pPr>
        <w:rPr>
          <w:sz w:val="28"/>
          <w:szCs w:val="28"/>
        </w:rPr>
      </w:pPr>
    </w:p>
    <w:sectPr w:rsidR="00960664" w:rsidRPr="005C3359" w:rsidSect="0096066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99126E"/>
    <w:multiLevelType w:val="multilevel"/>
    <w:tmpl w:val="096E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savePreviewPicture/>
  <w:compat/>
  <w:rsids>
    <w:rsidRoot w:val="005C3359"/>
    <w:rsid w:val="005C3359"/>
    <w:rsid w:val="0096066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664"/>
  </w:style>
  <w:style w:type="paragraph" w:styleId="Balk2">
    <w:name w:val="heading 2"/>
    <w:basedOn w:val="Normal"/>
    <w:link w:val="Balk2Char"/>
    <w:uiPriority w:val="9"/>
    <w:qFormat/>
    <w:rsid w:val="005C3359"/>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5C3359"/>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5C335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C3359"/>
    <w:rPr>
      <w:color w:val="0000FF"/>
      <w:u w:val="single"/>
    </w:rPr>
  </w:style>
  <w:style w:type="character" w:styleId="Gl">
    <w:name w:val="Strong"/>
    <w:basedOn w:val="VarsaylanParagrafYazTipi"/>
    <w:uiPriority w:val="22"/>
    <w:qFormat/>
    <w:rsid w:val="005C3359"/>
    <w:rPr>
      <w:b/>
      <w:bCs/>
    </w:rPr>
  </w:style>
</w:styles>
</file>

<file path=word/webSettings.xml><?xml version="1.0" encoding="utf-8"?>
<w:webSettings xmlns:r="http://schemas.openxmlformats.org/officeDocument/2006/relationships" xmlns:w="http://schemas.openxmlformats.org/wordprocessingml/2006/main">
  <w:divs>
    <w:div w:id="114958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COM:2019:640:FIN" TargetMode="External"/><Relationship Id="rId13" Type="http://schemas.openxmlformats.org/officeDocument/2006/relationships/hyperlink" Target="https://commission.europa.eu/energy-climate-change-environment/standards-tools-and-labels/products-labelling-rules-and-requirements/sustainable-products/about-sustainable-products_en" TargetMode="External"/><Relationship Id="rId18" Type="http://schemas.openxmlformats.org/officeDocument/2006/relationships/hyperlink" Target="https://environment.ec.europa.eu/topics/waste-and-recycling/packaging-waste_en"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ur-lex.europa.eu/legal-content/EN/TXT/PDF/?uri=CELEX:32021R1119&amp;from=EN" TargetMode="External"/><Relationship Id="rId12" Type="http://schemas.openxmlformats.org/officeDocument/2006/relationships/hyperlink" Target="https://environment.ec.europa.eu/strategy/circular-economy-action-plan_en" TargetMode="External"/><Relationship Id="rId17" Type="http://schemas.openxmlformats.org/officeDocument/2006/relationships/hyperlink" Target="https://single-market-economy.ec.europa.eu/sectors/construction/construction-products-regulation-cpr/review_en" TargetMode="External"/><Relationship Id="rId2" Type="http://schemas.openxmlformats.org/officeDocument/2006/relationships/styles" Target="styles.xml"/><Relationship Id="rId16" Type="http://schemas.openxmlformats.org/officeDocument/2006/relationships/hyperlink" Target="https://environment.ec.europa.eu/strategy/textiles-strategy_en" TargetMode="External"/><Relationship Id="rId20" Type="http://schemas.openxmlformats.org/officeDocument/2006/relationships/hyperlink" Target="https://environment.ec.europa.eu/strategy/circular-economy-action-plan_en" TargetMode="External"/><Relationship Id="rId1" Type="http://schemas.openxmlformats.org/officeDocument/2006/relationships/numbering" Target="numbering.xml"/><Relationship Id="rId6" Type="http://schemas.openxmlformats.org/officeDocument/2006/relationships/hyperlink" Target="https://commission.europa.eu/strategy-and-policy/priorities-2019-2024/european-green-deal_en" TargetMode="External"/><Relationship Id="rId11" Type="http://schemas.openxmlformats.org/officeDocument/2006/relationships/hyperlink" Target="https://ec.europa.eu/commission/presscorner/detail/en/ip_20_416" TargetMode="External"/><Relationship Id="rId5" Type="http://schemas.openxmlformats.org/officeDocument/2006/relationships/hyperlink" Target="https://commission.europa.eu/strategy-and-policy/priorities-2019-2024/european-green-deal_en" TargetMode="External"/><Relationship Id="rId15" Type="http://schemas.openxmlformats.org/officeDocument/2006/relationships/hyperlink" Target="https://environment.ec.europa.eu/topics/waste-and-recycling/batteries_en" TargetMode="External"/><Relationship Id="rId10" Type="http://schemas.openxmlformats.org/officeDocument/2006/relationships/hyperlink" Target="https://www.europarl.europa.eu/RegData/commissions/envi/inag/2023/02-08/ENVI_AG(2023)742452_EN.pdf" TargetMode="External"/><Relationship Id="rId19" Type="http://schemas.openxmlformats.org/officeDocument/2006/relationships/hyperlink" Target="https://ec.europa.eu/commission/presscorner/detail/en/ip_21_5916" TargetMode="External"/><Relationship Id="rId4" Type="http://schemas.openxmlformats.org/officeDocument/2006/relationships/webSettings" Target="webSettings.xml"/><Relationship Id="rId9" Type="http://schemas.openxmlformats.org/officeDocument/2006/relationships/hyperlink" Target="https://www.consilium.europa.eu/en/policies/green-deal/fit-for-55-the-eu-plan-for-a-green-transition/" TargetMode="External"/><Relationship Id="rId14" Type="http://schemas.openxmlformats.org/officeDocument/2006/relationships/hyperlink" Target="https://commission.europa.eu/energy-climate-change-environment/standards-tools-and-labels/products-labelling-rules-and-requirements/sustainable-products/ecodesign-sustainable-products_en" TargetMode="External"/><Relationship Id="rId22"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1141</Words>
  <Characters>6508</Characters>
  <Application>Microsoft Office Word</Application>
  <DocSecurity>0</DocSecurity>
  <Lines>54</Lines>
  <Paragraphs>15</Paragraphs>
  <ScaleCrop>false</ScaleCrop>
  <Company/>
  <LinksUpToDate>false</LinksUpToDate>
  <CharactersWithSpaces>7634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2023-10-27T12:29:00Z</dcterms:created>
  <dcterms:modified xsi:type="dcterms:W3CDTF">2023-10-27T12:30:00Z</dcterms:modified>
</cp:coreProperties>
</file>