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CC" w:rsidRPr="00736ECC" w:rsidRDefault="00736ECC" w:rsidP="00736ECC">
      <w:pPr>
        <w:shd w:val="clear" w:color="auto" w:fill="F4F0E8"/>
        <w:spacing w:before="100" w:beforeAutospacing="1" w:after="100" w:afterAutospacing="1" w:line="240" w:lineRule="auto"/>
        <w:rPr>
          <w:rFonts w:ascii="Times New Roman" w:eastAsia="Times New Roman" w:hAnsi="Times New Roman" w:cs="Times New Roman"/>
          <w:sz w:val="40"/>
          <w:szCs w:val="40"/>
          <w:lang w:eastAsia="tr-TR"/>
        </w:rPr>
      </w:pPr>
      <w:r w:rsidRPr="00736ECC">
        <w:rPr>
          <w:rFonts w:ascii="Times New Roman" w:eastAsia="Times New Roman" w:hAnsi="Times New Roman" w:cs="Times New Roman"/>
          <w:sz w:val="40"/>
          <w:szCs w:val="40"/>
          <w:lang w:eastAsia="tr-TR"/>
        </w:rPr>
        <w:fldChar w:fldCharType="begin"/>
      </w:r>
      <w:r w:rsidRPr="00736ECC">
        <w:rPr>
          <w:rFonts w:ascii="Times New Roman" w:eastAsia="Times New Roman" w:hAnsi="Times New Roman" w:cs="Times New Roman"/>
          <w:sz w:val="40"/>
          <w:szCs w:val="40"/>
          <w:lang w:eastAsia="tr-TR"/>
        </w:rPr>
        <w:instrText xml:space="preserve"> HYPERLINK "https://ticaret.gov.tr/gumruk-islemleri/dijital-gumruk-uygulamalari" </w:instrText>
      </w:r>
      <w:r w:rsidRPr="00736ECC">
        <w:rPr>
          <w:rFonts w:ascii="Times New Roman" w:eastAsia="Times New Roman" w:hAnsi="Times New Roman" w:cs="Times New Roman"/>
          <w:sz w:val="40"/>
          <w:szCs w:val="40"/>
          <w:lang w:eastAsia="tr-TR"/>
        </w:rPr>
        <w:fldChar w:fldCharType="separate"/>
      </w:r>
      <w:r w:rsidRPr="00736ECC">
        <w:rPr>
          <w:rFonts w:ascii="Times New Roman" w:eastAsia="Times New Roman" w:hAnsi="Times New Roman" w:cs="Times New Roman"/>
          <w:b/>
          <w:bCs/>
          <w:color w:val="765314"/>
          <w:sz w:val="40"/>
          <w:szCs w:val="40"/>
          <w:u w:val="single"/>
          <w:lang w:eastAsia="tr-TR"/>
        </w:rPr>
        <w:t>Dijital Gümrük Uygulamaları</w:t>
      </w:r>
      <w:r w:rsidRPr="00736ECC">
        <w:rPr>
          <w:rFonts w:ascii="Times New Roman" w:eastAsia="Times New Roman" w:hAnsi="Times New Roman" w:cs="Times New Roman"/>
          <w:sz w:val="40"/>
          <w:szCs w:val="40"/>
          <w:lang w:eastAsia="tr-TR"/>
        </w:rPr>
        <w:fldChar w:fldCharType="end"/>
      </w:r>
    </w:p>
    <w:p w:rsidR="00736ECC" w:rsidRPr="00736ECC" w:rsidRDefault="00736ECC" w:rsidP="00736ECC">
      <w:pPr>
        <w:spacing w:after="243" w:line="240" w:lineRule="auto"/>
        <w:outlineLvl w:val="1"/>
        <w:rPr>
          <w:rFonts w:ascii="Arial" w:eastAsia="Times New Roman" w:hAnsi="Arial" w:cs="Arial"/>
          <w:b/>
          <w:bCs/>
          <w:color w:val="09376B"/>
          <w:sz w:val="42"/>
          <w:szCs w:val="42"/>
          <w:lang w:eastAsia="tr-TR"/>
        </w:rPr>
      </w:pPr>
      <w:r w:rsidRPr="00736ECC">
        <w:rPr>
          <w:rFonts w:ascii="Arial" w:eastAsia="Times New Roman" w:hAnsi="Arial" w:cs="Arial"/>
          <w:b/>
          <w:bCs/>
          <w:color w:val="09376B"/>
          <w:sz w:val="42"/>
          <w:szCs w:val="42"/>
          <w:lang w:eastAsia="tr-TR"/>
        </w:rPr>
        <w:t>Sıkça Sorulan Sorular</w:t>
      </w:r>
    </w:p>
    <w:p w:rsidR="00736ECC" w:rsidRPr="00736ECC" w:rsidRDefault="00736ECC" w:rsidP="00736ECC">
      <w:pPr>
        <w:shd w:val="clear" w:color="auto" w:fill="EEEEEE"/>
        <w:spacing w:after="0" w:line="240" w:lineRule="auto"/>
        <w:jc w:val="both"/>
        <w:rPr>
          <w:rFonts w:ascii="Roboto" w:eastAsia="Times New Roman" w:hAnsi="Roboto" w:cs="Arial"/>
          <w:color w:val="222222"/>
          <w:sz w:val="28"/>
          <w:szCs w:val="28"/>
          <w:lang w:eastAsia="tr-TR"/>
        </w:rPr>
      </w:pPr>
      <w:r w:rsidRPr="00736ECC">
        <w:rPr>
          <w:rFonts w:ascii="Arial" w:eastAsia="Times New Roman" w:hAnsi="Arial" w:cs="Arial"/>
          <w:b/>
          <w:bCs/>
          <w:color w:val="222222"/>
          <w:sz w:val="28"/>
          <w:szCs w:val="28"/>
          <w:lang w:eastAsia="tr-TR"/>
        </w:rPr>
        <w:t>Soru: </w:t>
      </w:r>
      <w:r w:rsidRPr="00736ECC">
        <w:rPr>
          <w:rFonts w:ascii="Roboto" w:eastAsia="Times New Roman" w:hAnsi="Roboto" w:cs="Arial"/>
          <w:b/>
          <w:bCs/>
          <w:color w:val="222222"/>
          <w:sz w:val="28"/>
          <w:szCs w:val="28"/>
          <w:lang w:eastAsia="tr-TR"/>
        </w:rPr>
        <w:t xml:space="preserve">Gümrük Beyannamesi doldurmak istiyorum ne </w:t>
      </w:r>
      <w:proofErr w:type="gramStart"/>
      <w:r w:rsidRPr="00736ECC">
        <w:rPr>
          <w:rFonts w:ascii="Roboto" w:eastAsia="Times New Roman" w:hAnsi="Roboto" w:cs="Arial"/>
          <w:b/>
          <w:bCs/>
          <w:color w:val="222222"/>
          <w:sz w:val="28"/>
          <w:szCs w:val="28"/>
          <w:lang w:eastAsia="tr-TR"/>
        </w:rPr>
        <w:t>yapmalıyım ?</w:t>
      </w:r>
      <w:proofErr w:type="gramEnd"/>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Arial" w:eastAsia="Times New Roman" w:hAnsi="Arial" w:cs="Arial"/>
          <w:b/>
          <w:bCs/>
          <w:color w:val="222222"/>
          <w:sz w:val="28"/>
          <w:szCs w:val="28"/>
          <w:lang w:eastAsia="tr-TR"/>
        </w:rPr>
        <w:t>Cevap:</w:t>
      </w:r>
      <w:r w:rsidRPr="00736ECC">
        <w:rPr>
          <w:rFonts w:ascii="Arial" w:eastAsia="Times New Roman" w:hAnsi="Arial" w:cs="Arial"/>
          <w:color w:val="222222"/>
          <w:sz w:val="28"/>
          <w:szCs w:val="28"/>
          <w:lang w:eastAsia="tr-TR"/>
        </w:rPr>
        <w:t> </w:t>
      </w:r>
      <w:r w:rsidRPr="00736ECC">
        <w:rPr>
          <w:rFonts w:ascii="Roboto" w:eastAsia="Times New Roman" w:hAnsi="Roboto" w:cs="Arial"/>
          <w:color w:val="222222"/>
          <w:sz w:val="28"/>
          <w:szCs w:val="28"/>
          <w:lang w:eastAsia="tr-TR"/>
        </w:rPr>
        <w:t xml:space="preserve">Gümrük Beyanında bulunmak için BİLGE Sistemi (Bilgisayarlı Gümrük Etkinlikleri)’ kullanıcı adı ve şifresine sahip olunması gerekir. Kullanıcı adı ve şifre almak için talebi içeren bir dilekçe ve 81 seri numaralı Gümrük Genel Tebliği ile istenilen belgeler ile Gümrük ve Ticaret Bölge Müdürlüklerine başvurulmaktadır. Başvuru  Gümrük ve Ticaret Bölge Müdürlüğünce ilgili gümrük müdürlüğüne iletilmektedir. Başvurunun olumlu sonuçlanması halinde ilgili gümrük müdürlüğünce sisteme giriş yapılarak yükümlü adına düzenlenmiş kullanıcı adı ve şifresi </w:t>
      </w:r>
      <w:proofErr w:type="gramStart"/>
      <w:r w:rsidRPr="00736ECC">
        <w:rPr>
          <w:rFonts w:ascii="Roboto" w:eastAsia="Times New Roman" w:hAnsi="Roboto" w:cs="Arial"/>
          <w:color w:val="222222"/>
          <w:sz w:val="28"/>
          <w:szCs w:val="28"/>
          <w:lang w:eastAsia="tr-TR"/>
        </w:rPr>
        <w:t>verilmektedir.Gümrük</w:t>
      </w:r>
      <w:proofErr w:type="gramEnd"/>
      <w:r w:rsidRPr="00736ECC">
        <w:rPr>
          <w:rFonts w:ascii="Roboto" w:eastAsia="Times New Roman" w:hAnsi="Roboto" w:cs="Arial"/>
          <w:color w:val="222222"/>
          <w:sz w:val="28"/>
          <w:szCs w:val="28"/>
          <w:lang w:eastAsia="tr-TR"/>
        </w:rPr>
        <w:t xml:space="preserve"> beyannamesi doldurulmasına ilişkin açıklamalar Gümrük Yönetmeliğinin 14 numaralı ekinde yer almaktadır. Gümrük beyanı gümrük idarelerinde bulunan veri giriş salonlarından veya özel firmalar tarafından sunulan uygulamalar aracılığı ile yapılabilmektedir.</w:t>
      </w:r>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p>
    <w:p w:rsidR="00736ECC" w:rsidRP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Arial" w:eastAsia="Times New Roman" w:hAnsi="Arial" w:cs="Arial"/>
          <w:b/>
          <w:bCs/>
          <w:color w:val="222222"/>
          <w:sz w:val="28"/>
          <w:szCs w:val="28"/>
          <w:lang w:eastAsia="tr-TR"/>
        </w:rPr>
        <w:t>Soru: </w:t>
      </w:r>
      <w:r w:rsidRPr="00736ECC">
        <w:rPr>
          <w:rFonts w:ascii="Roboto" w:eastAsia="Times New Roman" w:hAnsi="Roboto" w:cs="Arial"/>
          <w:b/>
          <w:bCs/>
          <w:color w:val="222222"/>
          <w:sz w:val="28"/>
          <w:szCs w:val="28"/>
          <w:lang w:eastAsia="tr-TR"/>
        </w:rPr>
        <w:t>Gümrük Beyannamemde sorun yaşıyorum ne yapmalıyım?</w:t>
      </w:r>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Arial" w:eastAsia="Times New Roman" w:hAnsi="Arial" w:cs="Arial"/>
          <w:b/>
          <w:bCs/>
          <w:color w:val="222222"/>
          <w:sz w:val="28"/>
          <w:szCs w:val="28"/>
          <w:lang w:eastAsia="tr-TR"/>
        </w:rPr>
        <w:t>Cevap: </w:t>
      </w:r>
      <w:r w:rsidRPr="00736ECC">
        <w:rPr>
          <w:rFonts w:ascii="Roboto" w:eastAsia="Times New Roman" w:hAnsi="Roboto" w:cs="Arial"/>
          <w:color w:val="222222"/>
          <w:sz w:val="28"/>
          <w:szCs w:val="28"/>
          <w:lang w:eastAsia="tr-TR"/>
        </w:rPr>
        <w:t>Gümrük beyannamesi ile ilgili olarak beyanın yapılması aşamasında teknik hataların alınması nedeniyle işlemlere devam edilememesi halinde sorunun varsa geçici tescil numarası belirtilerek ilgili gümrük müdürlüğü bilgi işlem personeline veya Bakanlığımız Çağrı Merkezine iletilmesi gerekmektedir.</w:t>
      </w:r>
      <w:r w:rsidRPr="00736ECC">
        <w:rPr>
          <w:rFonts w:ascii="Roboto" w:eastAsia="Times New Roman" w:hAnsi="Roboto" w:cs="Arial"/>
          <w:color w:val="222222"/>
          <w:sz w:val="28"/>
          <w:szCs w:val="28"/>
          <w:lang w:eastAsia="tr-TR"/>
        </w:rPr>
        <w:br/>
        <w:t>Ancak gümrük işlemleri tamamlanarak kapanmış/ kapatılabilir/çıkabilir statülere gelen gümrük beyannamelerinde  düzeltme, beyannamede statü değişikliği, iptal vb. taleplerde bulunulması halinde öncelikle konuyu açıklayan bir dilekçe ilgili gümrük müdürlüğüne başvurulması gerekmektedir.</w:t>
      </w:r>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p>
    <w:p w:rsidR="00736ECC" w:rsidRP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Arial" w:eastAsia="Times New Roman" w:hAnsi="Arial" w:cs="Arial"/>
          <w:b/>
          <w:bCs/>
          <w:color w:val="222222"/>
          <w:sz w:val="28"/>
          <w:szCs w:val="28"/>
          <w:lang w:eastAsia="tr-TR"/>
        </w:rPr>
        <w:t>Soru: </w:t>
      </w:r>
      <w:r w:rsidRPr="00736ECC">
        <w:rPr>
          <w:rFonts w:ascii="Roboto" w:eastAsia="Times New Roman" w:hAnsi="Roboto" w:cs="Arial"/>
          <w:b/>
          <w:bCs/>
          <w:color w:val="222222"/>
          <w:sz w:val="28"/>
          <w:szCs w:val="28"/>
          <w:lang w:eastAsia="tr-TR"/>
        </w:rPr>
        <w:t>Tek Pencere Sistemi Nedir?</w:t>
      </w:r>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Arial" w:eastAsia="Times New Roman" w:hAnsi="Arial" w:cs="Arial"/>
          <w:b/>
          <w:bCs/>
          <w:color w:val="222222"/>
          <w:sz w:val="28"/>
          <w:szCs w:val="28"/>
          <w:lang w:eastAsia="tr-TR"/>
        </w:rPr>
        <w:t>Cevap:</w:t>
      </w:r>
      <w:r w:rsidRPr="00736ECC">
        <w:rPr>
          <w:rFonts w:ascii="Arial" w:eastAsia="Times New Roman" w:hAnsi="Arial" w:cs="Arial"/>
          <w:color w:val="222222"/>
          <w:sz w:val="28"/>
          <w:szCs w:val="28"/>
          <w:lang w:eastAsia="tr-TR"/>
        </w:rPr>
        <w:t> </w:t>
      </w:r>
      <w:r w:rsidRPr="00736ECC">
        <w:rPr>
          <w:rFonts w:ascii="Roboto" w:eastAsia="Times New Roman" w:hAnsi="Roboto" w:cs="Arial"/>
          <w:color w:val="222222"/>
          <w:sz w:val="28"/>
          <w:szCs w:val="28"/>
          <w:lang w:eastAsia="tr-TR"/>
        </w:rPr>
        <w:t>Tek Pencere Sistemi, ithalat ve ihracat işlemleri için kamu kurumlarından izin ve onay alma zorunluluğu bulunan yükümlülerin, bu yükümlülüklerini bir noktaya başvuru yaparak ve başvurularının yanıtlarını yine aynı noktadan alarak yerine getirmelerini sağlayacak bir sistemdir.</w:t>
      </w:r>
      <w:r w:rsidRPr="00736ECC">
        <w:rPr>
          <w:rFonts w:ascii="Roboto" w:eastAsia="Times New Roman" w:hAnsi="Roboto" w:cs="Arial"/>
          <w:color w:val="222222"/>
          <w:sz w:val="28"/>
          <w:szCs w:val="28"/>
          <w:lang w:eastAsia="tr-TR"/>
        </w:rPr>
        <w:br/>
        <w:t xml:space="preserve">Sistem başvuruların ve belgelerin elektronik ortama aktarılmasını sağlamaktadır. Sistem sayesinde yükümlüler başvuruları için gerekli olan belgeleri tekbir noktadan sunmaktadır. Başvurunun olumlu sonuçlanması halinde yükümlü tarafından sunulan bu bilgiler dış ticaret işlemine konu paydaşlar arasında elektronik olarak paylaşılmakta yükümlünün aynı bilgileri tekrar </w:t>
      </w:r>
      <w:proofErr w:type="spellStart"/>
      <w:r w:rsidRPr="00736ECC">
        <w:rPr>
          <w:rFonts w:ascii="Roboto" w:eastAsia="Times New Roman" w:hAnsi="Roboto" w:cs="Arial"/>
          <w:color w:val="222222"/>
          <w:sz w:val="28"/>
          <w:szCs w:val="28"/>
          <w:lang w:eastAsia="tr-TR"/>
        </w:rPr>
        <w:t>tekrar</w:t>
      </w:r>
      <w:proofErr w:type="spellEnd"/>
      <w:r w:rsidRPr="00736ECC">
        <w:rPr>
          <w:rFonts w:ascii="Roboto" w:eastAsia="Times New Roman" w:hAnsi="Roboto" w:cs="Arial"/>
          <w:color w:val="222222"/>
          <w:sz w:val="28"/>
          <w:szCs w:val="28"/>
          <w:lang w:eastAsia="tr-TR"/>
        </w:rPr>
        <w:t xml:space="preserve"> sunması önlenmektedir.</w:t>
      </w:r>
      <w:r w:rsidRPr="00736ECC">
        <w:rPr>
          <w:rFonts w:ascii="Roboto" w:eastAsia="Times New Roman" w:hAnsi="Roboto" w:cs="Arial"/>
          <w:color w:val="222222"/>
          <w:sz w:val="28"/>
          <w:szCs w:val="28"/>
          <w:lang w:eastAsia="tr-TR"/>
        </w:rPr>
        <w:br/>
      </w:r>
      <w:r w:rsidRPr="00736ECC">
        <w:rPr>
          <w:rFonts w:ascii="Roboto" w:eastAsia="Times New Roman" w:hAnsi="Roboto" w:cs="Arial"/>
          <w:color w:val="222222"/>
          <w:sz w:val="28"/>
          <w:szCs w:val="28"/>
          <w:lang w:eastAsia="tr-TR"/>
        </w:rPr>
        <w:lastRenderedPageBreak/>
        <w:t xml:space="preserve">20/03/2012 tarihli ve 28239 sayılı Resmi Gazete’de yayımlanan “Gümrük Hizmetlerinde Tek Pencere Sistemi” konulu 2012/6 sayılı Başbakanlık Genelgesi’ ile diğer kamu kurumları ile yapılacak çalışmaların koordinasyonu da </w:t>
      </w:r>
      <w:proofErr w:type="gramStart"/>
      <w:r w:rsidRPr="00736ECC">
        <w:rPr>
          <w:rFonts w:ascii="Roboto" w:eastAsia="Times New Roman" w:hAnsi="Roboto" w:cs="Arial"/>
          <w:color w:val="222222"/>
          <w:sz w:val="28"/>
          <w:szCs w:val="28"/>
          <w:lang w:eastAsia="tr-TR"/>
        </w:rPr>
        <w:t>dahil</w:t>
      </w:r>
      <w:proofErr w:type="gramEnd"/>
      <w:r w:rsidRPr="00736ECC">
        <w:rPr>
          <w:rFonts w:ascii="Roboto" w:eastAsia="Times New Roman" w:hAnsi="Roboto" w:cs="Arial"/>
          <w:color w:val="222222"/>
          <w:sz w:val="28"/>
          <w:szCs w:val="28"/>
          <w:lang w:eastAsia="tr-TR"/>
        </w:rPr>
        <w:t xml:space="preserve"> olmak üzere tüm çalışmaların gerçekleştirilmesi görev ve yet</w:t>
      </w:r>
      <w:r>
        <w:rPr>
          <w:rFonts w:ascii="Roboto" w:eastAsia="Times New Roman" w:hAnsi="Roboto" w:cs="Arial"/>
          <w:color w:val="222222"/>
          <w:sz w:val="28"/>
          <w:szCs w:val="28"/>
          <w:lang w:eastAsia="tr-TR"/>
        </w:rPr>
        <w:t xml:space="preserve">kisi Bakanlığımıza verilmiştir. </w:t>
      </w:r>
      <w:r w:rsidRPr="00736ECC">
        <w:rPr>
          <w:rFonts w:ascii="Roboto" w:eastAsia="Times New Roman" w:hAnsi="Roboto" w:cs="Arial"/>
          <w:color w:val="222222"/>
          <w:sz w:val="28"/>
          <w:szCs w:val="28"/>
          <w:lang w:eastAsia="tr-TR"/>
        </w:rPr>
        <w:t>Söz konusu Genelge kapsamında Tek Pencere Sistemi kurulmasına ilişkin çalışmalar devam etmektedir.</w:t>
      </w:r>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p>
    <w:p w:rsidR="00736ECC" w:rsidRP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Arial" w:eastAsia="Times New Roman" w:hAnsi="Arial" w:cs="Arial"/>
          <w:b/>
          <w:bCs/>
          <w:color w:val="222222"/>
          <w:sz w:val="28"/>
          <w:szCs w:val="28"/>
          <w:lang w:eastAsia="tr-TR"/>
        </w:rPr>
        <w:t>Soru: </w:t>
      </w:r>
      <w:r w:rsidRPr="00736ECC">
        <w:rPr>
          <w:rFonts w:ascii="Roboto" w:eastAsia="Times New Roman" w:hAnsi="Roboto" w:cs="Arial"/>
          <w:b/>
          <w:bCs/>
          <w:color w:val="222222"/>
          <w:sz w:val="28"/>
          <w:szCs w:val="28"/>
          <w:lang w:eastAsia="tr-TR"/>
        </w:rPr>
        <w:t>Beyannamelerimin durumuna ilişkin bilgiyi nereden öğrenebilirim?</w:t>
      </w:r>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Arial" w:eastAsia="Times New Roman" w:hAnsi="Arial" w:cs="Arial"/>
          <w:b/>
          <w:bCs/>
          <w:color w:val="222222"/>
          <w:sz w:val="28"/>
          <w:szCs w:val="28"/>
          <w:lang w:eastAsia="tr-TR"/>
        </w:rPr>
        <w:t>Cevap: </w:t>
      </w:r>
      <w:r w:rsidRPr="00736ECC">
        <w:rPr>
          <w:rFonts w:ascii="Roboto" w:eastAsia="Times New Roman" w:hAnsi="Roboto" w:cs="Arial"/>
          <w:color w:val="222222"/>
          <w:sz w:val="28"/>
          <w:szCs w:val="28"/>
          <w:lang w:eastAsia="tr-TR"/>
        </w:rPr>
        <w:t xml:space="preserve">Bakanlığımız internet sayfasında “e-işlemler” başlığı altında yer alan “Detaylı Beyan Durum Sorgulama” bağlantısına giriş yapılarak  beyanname numarasının yazılması ile beyannamenin işlemlerinin tamamlanıp tamamlanmadığı </w:t>
      </w:r>
      <w:r>
        <w:rPr>
          <w:rFonts w:ascii="Roboto" w:eastAsia="Times New Roman" w:hAnsi="Roboto" w:cs="Arial"/>
          <w:color w:val="222222"/>
          <w:sz w:val="28"/>
          <w:szCs w:val="28"/>
          <w:lang w:eastAsia="tr-TR"/>
        </w:rPr>
        <w:t>bilgisine ulaşılabilmektedir.</w:t>
      </w:r>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Roboto" w:eastAsia="Times New Roman" w:hAnsi="Roboto" w:cs="Arial"/>
          <w:color w:val="222222"/>
          <w:sz w:val="28"/>
          <w:szCs w:val="28"/>
          <w:lang w:eastAsia="tr-TR"/>
        </w:rPr>
        <w:t>Bu bölümde Beyannamenin durumuna, VEDOP Sistemine Aktarılma durumuna, AZO Durumuna ve Çıktı Seri Numarasına ilişkin sorgulamalar yapılabilmektedir.</w:t>
      </w:r>
      <w:r w:rsidRPr="00736ECC">
        <w:rPr>
          <w:rFonts w:ascii="Roboto" w:eastAsia="Times New Roman" w:hAnsi="Roboto" w:cs="Arial"/>
          <w:color w:val="222222"/>
          <w:sz w:val="28"/>
          <w:szCs w:val="28"/>
          <w:lang w:eastAsia="tr-TR"/>
        </w:rPr>
        <w:br/>
        <w:t>Ayrıca elektronik ticaret kapsamında tescil edilen beyannameler</w:t>
      </w:r>
      <w:r>
        <w:rPr>
          <w:rFonts w:ascii="Roboto" w:eastAsia="Times New Roman" w:hAnsi="Roboto" w:cs="Arial"/>
          <w:color w:val="222222"/>
          <w:sz w:val="28"/>
          <w:szCs w:val="28"/>
          <w:lang w:eastAsia="tr-TR"/>
        </w:rPr>
        <w:t>in durumuna ilişkin sorgulamaya</w:t>
      </w:r>
      <w:r w:rsidRPr="00736ECC">
        <w:rPr>
          <w:rFonts w:ascii="Roboto" w:eastAsia="Times New Roman" w:hAnsi="Roboto" w:cs="Arial"/>
          <w:color w:val="222222"/>
          <w:sz w:val="28"/>
          <w:szCs w:val="28"/>
          <w:lang w:eastAsia="tr-TR"/>
        </w:rPr>
        <w:t>“ İşlemi Tamamlanan Yeni Hızlı Kargo Beyannameleri” bağlantısı aracılığıyla ulaşılabilmektedir.</w:t>
      </w:r>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p>
    <w:p w:rsidR="00736ECC" w:rsidRP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Arial" w:eastAsia="Times New Roman" w:hAnsi="Arial" w:cs="Arial"/>
          <w:b/>
          <w:bCs/>
          <w:color w:val="222222"/>
          <w:sz w:val="28"/>
          <w:szCs w:val="28"/>
          <w:lang w:eastAsia="tr-TR"/>
        </w:rPr>
        <w:t>Soru: </w:t>
      </w:r>
      <w:proofErr w:type="gramStart"/>
      <w:r w:rsidRPr="00736ECC">
        <w:rPr>
          <w:rFonts w:ascii="Roboto" w:eastAsia="Times New Roman" w:hAnsi="Roboto" w:cs="Arial"/>
          <w:b/>
          <w:bCs/>
          <w:color w:val="222222"/>
          <w:sz w:val="28"/>
          <w:szCs w:val="28"/>
          <w:lang w:eastAsia="tr-TR"/>
        </w:rPr>
        <w:t>Kağıtsız</w:t>
      </w:r>
      <w:proofErr w:type="gramEnd"/>
      <w:r w:rsidRPr="00736ECC">
        <w:rPr>
          <w:rFonts w:ascii="Roboto" w:eastAsia="Times New Roman" w:hAnsi="Roboto" w:cs="Arial"/>
          <w:b/>
          <w:bCs/>
          <w:color w:val="222222"/>
          <w:sz w:val="28"/>
          <w:szCs w:val="28"/>
          <w:lang w:eastAsia="tr-TR"/>
        </w:rPr>
        <w:t xml:space="preserve"> beyanname nedir?</w:t>
      </w:r>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proofErr w:type="gramStart"/>
      <w:r w:rsidRPr="00736ECC">
        <w:rPr>
          <w:rFonts w:ascii="Arial" w:eastAsia="Times New Roman" w:hAnsi="Arial" w:cs="Arial"/>
          <w:b/>
          <w:bCs/>
          <w:color w:val="222222"/>
          <w:sz w:val="28"/>
          <w:szCs w:val="28"/>
          <w:lang w:eastAsia="tr-TR"/>
        </w:rPr>
        <w:t>Cevap:</w:t>
      </w:r>
      <w:r w:rsidRPr="00736ECC">
        <w:rPr>
          <w:rFonts w:ascii="Arial" w:eastAsia="Times New Roman" w:hAnsi="Arial" w:cs="Arial"/>
          <w:color w:val="222222"/>
          <w:sz w:val="28"/>
          <w:szCs w:val="28"/>
          <w:lang w:eastAsia="tr-TR"/>
        </w:rPr>
        <w:t> </w:t>
      </w:r>
      <w:r w:rsidRPr="00736ECC">
        <w:rPr>
          <w:rFonts w:ascii="Roboto" w:eastAsia="Times New Roman" w:hAnsi="Roboto" w:cs="Arial"/>
          <w:color w:val="222222"/>
          <w:sz w:val="28"/>
          <w:szCs w:val="28"/>
          <w:lang w:eastAsia="tr-TR"/>
        </w:rPr>
        <w:t xml:space="preserve">Gümrük Yönetmeliğinin 114 üncü maddesi 3 üncü fıkrasında yer alan “ Mavi hattan yararlanma hakkı bulunan Yetkilendirilmiş Yükümlü Sertifikası veya Onaylanmış Kişi Statü Belgesi sahibi kişiler adına tescil edilen ihracat beyannameleri ile Yetkilendirilmiş Yükümlü Sertifikasına sahip kişilerin mavi hatta işlem gören gümrük beyannamelerinin 44 </w:t>
      </w:r>
      <w:proofErr w:type="spellStart"/>
      <w:r w:rsidRPr="00736ECC">
        <w:rPr>
          <w:rFonts w:ascii="Roboto" w:eastAsia="Times New Roman" w:hAnsi="Roboto" w:cs="Arial"/>
          <w:color w:val="222222"/>
          <w:sz w:val="28"/>
          <w:szCs w:val="28"/>
          <w:lang w:eastAsia="tr-TR"/>
        </w:rPr>
        <w:t>nolu</w:t>
      </w:r>
      <w:proofErr w:type="spellEnd"/>
      <w:r w:rsidRPr="00736ECC">
        <w:rPr>
          <w:rFonts w:ascii="Roboto" w:eastAsia="Times New Roman" w:hAnsi="Roboto" w:cs="Arial"/>
          <w:color w:val="222222"/>
          <w:sz w:val="28"/>
          <w:szCs w:val="28"/>
          <w:lang w:eastAsia="tr-TR"/>
        </w:rPr>
        <w:t xml:space="preserve"> kutusuna birinci fıkrada </w:t>
      </w:r>
      <w:r>
        <w:rPr>
          <w:rFonts w:ascii="Roboto" w:eastAsia="Times New Roman" w:hAnsi="Roboto" w:cs="Arial"/>
          <w:color w:val="222222"/>
          <w:sz w:val="28"/>
          <w:szCs w:val="28"/>
          <w:lang w:eastAsia="tr-TR"/>
        </w:rPr>
        <w:t>belirtilen belgeler kaydedilir.</w:t>
      </w:r>
      <w:proofErr w:type="gramEnd"/>
    </w:p>
    <w:p w:rsid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Roboto" w:eastAsia="Times New Roman" w:hAnsi="Roboto" w:cs="Arial"/>
          <w:color w:val="222222"/>
          <w:sz w:val="28"/>
          <w:szCs w:val="28"/>
          <w:lang w:eastAsia="tr-TR"/>
        </w:rPr>
        <w:t xml:space="preserve">Muayene türü mavi hat olarak belirlenen ihracat beyannameleri ile Yetkilendirilmiş Yükümlü Sertifikasına sahip kişilerin mavi hatta işlem gören gümrük beyannamelerine birinci fıkrada belirtilen belgeler eklenmez. Ancak, muayene türü kırmızı hat olarak belirlenen beyannameler, 44 </w:t>
      </w:r>
      <w:proofErr w:type="spellStart"/>
      <w:r w:rsidRPr="00736ECC">
        <w:rPr>
          <w:rFonts w:ascii="Roboto" w:eastAsia="Times New Roman" w:hAnsi="Roboto" w:cs="Arial"/>
          <w:color w:val="222222"/>
          <w:sz w:val="28"/>
          <w:szCs w:val="28"/>
          <w:lang w:eastAsia="tr-TR"/>
        </w:rPr>
        <w:t>nolu</w:t>
      </w:r>
      <w:proofErr w:type="spellEnd"/>
      <w:r w:rsidRPr="00736ECC">
        <w:rPr>
          <w:rFonts w:ascii="Roboto" w:eastAsia="Times New Roman" w:hAnsi="Roboto" w:cs="Arial"/>
          <w:color w:val="222222"/>
          <w:sz w:val="28"/>
          <w:szCs w:val="28"/>
          <w:lang w:eastAsia="tr-TR"/>
        </w:rPr>
        <w:t xml:space="preserve"> kutuya kaydedilen belgeler ile birlikte gümrük idaresine ibraz edilir.”</w:t>
      </w:r>
      <w:r w:rsidRPr="00736ECC">
        <w:rPr>
          <w:rFonts w:ascii="Roboto" w:eastAsia="Times New Roman" w:hAnsi="Roboto" w:cs="Arial"/>
          <w:color w:val="222222"/>
          <w:sz w:val="28"/>
          <w:szCs w:val="28"/>
          <w:lang w:eastAsia="tr-TR"/>
        </w:rPr>
        <w:br/>
      </w:r>
      <w:proofErr w:type="gramStart"/>
      <w:r w:rsidRPr="00736ECC">
        <w:rPr>
          <w:rFonts w:ascii="Roboto" w:eastAsia="Times New Roman" w:hAnsi="Roboto" w:cs="Arial"/>
          <w:color w:val="222222"/>
          <w:sz w:val="28"/>
          <w:szCs w:val="28"/>
          <w:lang w:eastAsia="tr-TR"/>
        </w:rPr>
        <w:t>hükmü</w:t>
      </w:r>
      <w:proofErr w:type="gramEnd"/>
      <w:r w:rsidRPr="00736ECC">
        <w:rPr>
          <w:rFonts w:ascii="Roboto" w:eastAsia="Times New Roman" w:hAnsi="Roboto" w:cs="Arial"/>
          <w:color w:val="222222"/>
          <w:sz w:val="28"/>
          <w:szCs w:val="28"/>
          <w:lang w:eastAsia="tr-TR"/>
        </w:rPr>
        <w:t xml:space="preserve"> çerçevesinde mavi hatta işlem yapma yetkisine sahip onaylanmış kişilerin ihracat işlemlerinde beyannamelerini elektronik ortamda sunmalarına kağıtsız beyanname denilmektedir.  Bu madde uyarınca beyanın elektronik olarak yapılması durumunda beyannameye eklenmesi gerekli belgelerin taranarak beyannameye eklenmesine veya kâğıt ortamında gümrük idaresine ibraz edilmesine gerek bulunmamaktadır. Bu belgeler ancak gümrük idaresince talep ed</w:t>
      </w:r>
      <w:r>
        <w:rPr>
          <w:rFonts w:ascii="Roboto" w:eastAsia="Times New Roman" w:hAnsi="Roboto" w:cs="Arial"/>
          <w:color w:val="222222"/>
          <w:sz w:val="28"/>
          <w:szCs w:val="28"/>
          <w:lang w:eastAsia="tr-TR"/>
        </w:rPr>
        <w:t>ilen durumlarda sunulmaktadır. </w:t>
      </w:r>
    </w:p>
    <w:p w:rsidR="00736ECC" w:rsidRPr="00736ECC" w:rsidRDefault="00736ECC" w:rsidP="00736ECC">
      <w:pPr>
        <w:shd w:val="clear" w:color="auto" w:fill="FFFFFF"/>
        <w:spacing w:after="162" w:line="240" w:lineRule="auto"/>
        <w:jc w:val="both"/>
        <w:rPr>
          <w:rFonts w:ascii="Roboto" w:eastAsia="Times New Roman" w:hAnsi="Roboto" w:cs="Arial"/>
          <w:color w:val="222222"/>
          <w:sz w:val="28"/>
          <w:szCs w:val="28"/>
          <w:lang w:eastAsia="tr-TR"/>
        </w:rPr>
      </w:pPr>
      <w:r w:rsidRPr="00736ECC">
        <w:rPr>
          <w:rFonts w:ascii="Roboto" w:eastAsia="Times New Roman" w:hAnsi="Roboto" w:cs="Arial"/>
          <w:color w:val="222222"/>
          <w:sz w:val="28"/>
          <w:szCs w:val="28"/>
          <w:lang w:eastAsia="tr-TR"/>
        </w:rPr>
        <w:t xml:space="preserve">Kağıtsız beyanname kapsamında işlem gören beyannamelerden sadece kapanmış" ithalat ve ihracat beyannameleri ile </w:t>
      </w:r>
      <w:proofErr w:type="gramStart"/>
      <w:r w:rsidRPr="00736ECC">
        <w:rPr>
          <w:rFonts w:ascii="Roboto" w:eastAsia="Times New Roman" w:hAnsi="Roboto" w:cs="Arial"/>
          <w:color w:val="222222"/>
          <w:sz w:val="28"/>
          <w:szCs w:val="28"/>
          <w:lang w:eastAsia="tr-TR"/>
        </w:rPr>
        <w:t>dahilde</w:t>
      </w:r>
      <w:proofErr w:type="gramEnd"/>
      <w:r w:rsidRPr="00736ECC">
        <w:rPr>
          <w:rFonts w:ascii="Roboto" w:eastAsia="Times New Roman" w:hAnsi="Roboto" w:cs="Arial"/>
          <w:color w:val="222222"/>
          <w:sz w:val="28"/>
          <w:szCs w:val="28"/>
          <w:lang w:eastAsia="tr-TR"/>
        </w:rPr>
        <w:t xml:space="preserve"> işleme rejimi kapsamında işlem gören "kapatılabilir" statüdeki beyannamelerin onaylı örneği talep edilmektedir. Böyle bir talebin olması  halinde beyannamenin mükellef nüshası (3 üncü ve 8 inci nüshalar) üzerine çıktı alınarak işlemlerin yapıldığı gümrük müdürlüğüne başvurulmakta ve  ilgili gümrükçe beyanname çıktısı üzerine mühür ve imza uygulanmaktadır.  Bu şekilde sadece tek bir beyanname nüshası düzenlenmekte; başkaca herhangi bir nüsha düzenlenmemektedir.</w:t>
      </w:r>
    </w:p>
    <w:p w:rsidR="008907B1" w:rsidRPr="00736ECC" w:rsidRDefault="008907B1">
      <w:pPr>
        <w:rPr>
          <w:sz w:val="28"/>
          <w:szCs w:val="28"/>
        </w:rPr>
      </w:pPr>
    </w:p>
    <w:sectPr w:rsidR="008907B1" w:rsidRPr="00736ECC" w:rsidSect="008907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A4D11"/>
    <w:multiLevelType w:val="multilevel"/>
    <w:tmpl w:val="29ECC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736ECC"/>
    <w:rsid w:val="00736ECC"/>
    <w:rsid w:val="008907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B1"/>
  </w:style>
  <w:style w:type="paragraph" w:styleId="Balk2">
    <w:name w:val="heading 2"/>
    <w:basedOn w:val="Normal"/>
    <w:link w:val="Balk2Char"/>
    <w:uiPriority w:val="9"/>
    <w:qFormat/>
    <w:rsid w:val="00736EC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36EC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36ECC"/>
    <w:rPr>
      <w:color w:val="0000FF"/>
      <w:u w:val="single"/>
    </w:rPr>
  </w:style>
  <w:style w:type="paragraph" w:styleId="NormalWeb">
    <w:name w:val="Normal (Web)"/>
    <w:basedOn w:val="Normal"/>
    <w:uiPriority w:val="99"/>
    <w:semiHidden/>
    <w:unhideWhenUsed/>
    <w:rsid w:val="00736E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36ECC"/>
    <w:rPr>
      <w:b/>
      <w:bCs/>
    </w:rPr>
  </w:style>
</w:styles>
</file>

<file path=word/webSettings.xml><?xml version="1.0" encoding="utf-8"?>
<w:webSettings xmlns:r="http://schemas.openxmlformats.org/officeDocument/2006/relationships" xmlns:w="http://schemas.openxmlformats.org/wordprocessingml/2006/main">
  <w:divs>
    <w:div w:id="955260727">
      <w:bodyDiv w:val="1"/>
      <w:marLeft w:val="0"/>
      <w:marRight w:val="0"/>
      <w:marTop w:val="0"/>
      <w:marBottom w:val="0"/>
      <w:divBdr>
        <w:top w:val="none" w:sz="0" w:space="0" w:color="auto"/>
        <w:left w:val="none" w:sz="0" w:space="0" w:color="auto"/>
        <w:bottom w:val="none" w:sz="0" w:space="0" w:color="auto"/>
        <w:right w:val="none" w:sz="0" w:space="0" w:color="auto"/>
      </w:divBdr>
      <w:divsChild>
        <w:div w:id="1580020136">
          <w:marLeft w:val="0"/>
          <w:marRight w:val="0"/>
          <w:marTop w:val="0"/>
          <w:marBottom w:val="0"/>
          <w:divBdr>
            <w:top w:val="single" w:sz="6" w:space="4" w:color="CCCCCC"/>
            <w:left w:val="single" w:sz="6" w:space="8" w:color="CCCCCC"/>
            <w:bottom w:val="single" w:sz="6" w:space="4" w:color="CCCCCC"/>
            <w:right w:val="single" w:sz="6" w:space="8" w:color="CCCCCC"/>
          </w:divBdr>
        </w:div>
        <w:div w:id="83108329">
          <w:marLeft w:val="0"/>
          <w:marRight w:val="0"/>
          <w:marTop w:val="0"/>
          <w:marBottom w:val="0"/>
          <w:divBdr>
            <w:top w:val="single" w:sz="6" w:space="4" w:color="CCCCCC"/>
            <w:left w:val="single" w:sz="6" w:space="8" w:color="CCCCCC"/>
            <w:bottom w:val="single" w:sz="6" w:space="4" w:color="CCCCCC"/>
            <w:right w:val="single" w:sz="6" w:space="8" w:color="CCCCCC"/>
          </w:divBdr>
        </w:div>
        <w:div w:id="1965958752">
          <w:marLeft w:val="0"/>
          <w:marRight w:val="0"/>
          <w:marTop w:val="0"/>
          <w:marBottom w:val="0"/>
          <w:divBdr>
            <w:top w:val="single" w:sz="6" w:space="4" w:color="CCCCCC"/>
            <w:left w:val="single" w:sz="6" w:space="8" w:color="CCCCCC"/>
            <w:bottom w:val="single" w:sz="6" w:space="4" w:color="CCCCCC"/>
            <w:right w:val="single" w:sz="6" w:space="8" w:color="CCCCCC"/>
          </w:divBdr>
        </w:div>
        <w:div w:id="1347437122">
          <w:marLeft w:val="0"/>
          <w:marRight w:val="0"/>
          <w:marTop w:val="0"/>
          <w:marBottom w:val="0"/>
          <w:divBdr>
            <w:top w:val="single" w:sz="6" w:space="4" w:color="CCCCCC"/>
            <w:left w:val="single" w:sz="6" w:space="8" w:color="CCCCCC"/>
            <w:bottom w:val="single" w:sz="6" w:space="4" w:color="CCCCCC"/>
            <w:right w:val="single" w:sz="6" w:space="8" w:color="CCCCCC"/>
          </w:divBdr>
        </w:div>
        <w:div w:id="21229957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2023-10-27T13:39:00Z</dcterms:created>
  <dcterms:modified xsi:type="dcterms:W3CDTF">2023-10-27T13:40:00Z</dcterms:modified>
</cp:coreProperties>
</file>