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5E" w:rsidRPr="0026765E" w:rsidRDefault="0026765E" w:rsidP="0026765E">
      <w:pPr>
        <w:shd w:val="clear" w:color="auto" w:fill="F4F0E8"/>
        <w:spacing w:before="100" w:beforeAutospacing="1" w:after="100" w:afterAutospacing="1" w:line="240" w:lineRule="auto"/>
        <w:rPr>
          <w:rFonts w:ascii="Times New Roman" w:eastAsia="Times New Roman" w:hAnsi="Times New Roman" w:cs="Times New Roman"/>
          <w:sz w:val="52"/>
          <w:szCs w:val="52"/>
          <w:lang w:eastAsia="tr-TR"/>
        </w:rPr>
      </w:pPr>
      <w:r w:rsidRPr="0026765E">
        <w:rPr>
          <w:rFonts w:ascii="Times New Roman" w:eastAsia="Times New Roman" w:hAnsi="Times New Roman" w:cs="Times New Roman"/>
          <w:sz w:val="52"/>
          <w:szCs w:val="52"/>
          <w:lang w:eastAsia="tr-TR"/>
        </w:rPr>
        <w:fldChar w:fldCharType="begin"/>
      </w:r>
      <w:r w:rsidRPr="0026765E">
        <w:rPr>
          <w:rFonts w:ascii="Times New Roman" w:eastAsia="Times New Roman" w:hAnsi="Times New Roman" w:cs="Times New Roman"/>
          <w:sz w:val="52"/>
          <w:szCs w:val="52"/>
          <w:lang w:eastAsia="tr-TR"/>
        </w:rPr>
        <w:instrText xml:space="preserve"> HYPERLINK "https://ticaret.gov.tr/ic-ticaret/elektronik-ticaret" </w:instrText>
      </w:r>
      <w:r w:rsidRPr="0026765E">
        <w:rPr>
          <w:rFonts w:ascii="Times New Roman" w:eastAsia="Times New Roman" w:hAnsi="Times New Roman" w:cs="Times New Roman"/>
          <w:sz w:val="52"/>
          <w:szCs w:val="52"/>
          <w:lang w:eastAsia="tr-TR"/>
        </w:rPr>
        <w:fldChar w:fldCharType="separate"/>
      </w:r>
      <w:r w:rsidRPr="0026765E">
        <w:rPr>
          <w:rFonts w:ascii="Times New Roman" w:eastAsia="Times New Roman" w:hAnsi="Times New Roman" w:cs="Times New Roman"/>
          <w:b/>
          <w:bCs/>
          <w:color w:val="765314"/>
          <w:sz w:val="52"/>
          <w:szCs w:val="52"/>
          <w:u w:val="single"/>
          <w:lang w:eastAsia="tr-TR"/>
        </w:rPr>
        <w:t>Elektronik Ticaret</w:t>
      </w:r>
      <w:r w:rsidRPr="0026765E">
        <w:rPr>
          <w:rFonts w:ascii="Times New Roman" w:eastAsia="Times New Roman" w:hAnsi="Times New Roman" w:cs="Times New Roman"/>
          <w:sz w:val="52"/>
          <w:szCs w:val="52"/>
          <w:lang w:eastAsia="tr-TR"/>
        </w:rPr>
        <w:fldChar w:fldCharType="end"/>
      </w:r>
      <w:r w:rsidRPr="0026765E">
        <w:rPr>
          <w:rFonts w:ascii="Times New Roman" w:eastAsia="Times New Roman" w:hAnsi="Times New Roman" w:cs="Times New Roman"/>
          <w:sz w:val="52"/>
          <w:szCs w:val="52"/>
          <w:lang w:eastAsia="tr-TR"/>
        </w:rPr>
        <w:t xml:space="preserve"> </w:t>
      </w:r>
      <w:r w:rsidRPr="0026765E">
        <w:rPr>
          <w:rFonts w:ascii="Arial" w:eastAsia="Times New Roman" w:hAnsi="Arial" w:cs="Arial"/>
          <w:b/>
          <w:bCs/>
          <w:color w:val="09376B"/>
          <w:sz w:val="52"/>
          <w:szCs w:val="52"/>
          <w:lang w:eastAsia="tr-TR"/>
        </w:rPr>
        <w:t>Mevzuat</w:t>
      </w:r>
    </w:p>
    <w:p w:rsidR="0026765E" w:rsidRPr="0026765E" w:rsidRDefault="0026765E" w:rsidP="0026765E">
      <w:pPr>
        <w:spacing w:after="0" w:line="240" w:lineRule="auto"/>
        <w:rPr>
          <w:rFonts w:ascii="Arial" w:eastAsia="Times New Roman" w:hAnsi="Arial" w:cs="Arial"/>
          <w:color w:val="212529"/>
          <w:sz w:val="26"/>
          <w:szCs w:val="26"/>
          <w:lang w:eastAsia="tr-TR"/>
        </w:rPr>
      </w:pPr>
      <w:r w:rsidRPr="0026765E">
        <w:rPr>
          <w:rFonts w:ascii="Arial" w:eastAsia="Times New Roman" w:hAnsi="Arial" w:cs="Arial"/>
          <w:b/>
          <w:bCs/>
          <w:color w:val="745E36"/>
          <w:sz w:val="21"/>
          <w:szCs w:val="21"/>
          <w:lang w:eastAsia="tr-TR"/>
        </w:rPr>
        <w:t>27 Nisan 2023</w:t>
      </w:r>
    </w:p>
    <w:p w:rsidR="0026765E" w:rsidRPr="0026765E" w:rsidRDefault="0026765E" w:rsidP="0026765E">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b/>
          <w:bCs/>
          <w:color w:val="212529"/>
          <w:sz w:val="26"/>
          <w:lang w:eastAsia="tr-TR"/>
        </w:rPr>
        <w:t>Kanun</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xml:space="preserve">Ülkemizde elektronik ticaretin hukuki altyapısını oluşturmak amacıyla 5 Kasım 2014 tarihinde Resmi Gazete’de yayımlanan 6563 sayılı Elektronik Ticaretin Düzenlenmesi Hakkında Kanun ve ikincil düzenlemeleri hayata geçirilmiştir. 12.07.2018 tarihinde Resmî Gazete’de yayımlanarak yürürlüğe giren 1 sayılı Cumhurbaşkanlığı Teşkilatı Hakkında Cumhurbaşkanlığı Kararnamesinin 446 </w:t>
      </w:r>
      <w:proofErr w:type="spellStart"/>
      <w:r w:rsidRPr="0026765E">
        <w:rPr>
          <w:rFonts w:ascii="Arial" w:eastAsia="Times New Roman" w:hAnsi="Arial" w:cs="Arial"/>
          <w:color w:val="212529"/>
          <w:sz w:val="26"/>
          <w:szCs w:val="26"/>
          <w:lang w:eastAsia="tr-TR"/>
        </w:rPr>
        <w:t>ncı</w:t>
      </w:r>
      <w:proofErr w:type="spellEnd"/>
      <w:r w:rsidRPr="0026765E">
        <w:rPr>
          <w:rFonts w:ascii="Arial" w:eastAsia="Times New Roman" w:hAnsi="Arial" w:cs="Arial"/>
          <w:color w:val="212529"/>
          <w:sz w:val="26"/>
          <w:szCs w:val="26"/>
          <w:lang w:eastAsia="tr-TR"/>
        </w:rPr>
        <w:t xml:space="preserve"> maddesinin (f) bendinde; İç Ticaret Genel Müdürlüğüne elektronik ticarete yönelik düzenlemeler yapmak ve bu alanın gelişmesine ve yaygınlaşmasına yönelik mevzuatla verilen görevleri yerine getirme yetki ve sorumluluğu verilmiştir. </w:t>
      </w:r>
      <w:proofErr w:type="gramStart"/>
      <w:r w:rsidRPr="0026765E">
        <w:rPr>
          <w:rFonts w:ascii="Arial" w:eastAsia="Times New Roman" w:hAnsi="Arial" w:cs="Arial"/>
          <w:color w:val="212529"/>
          <w:sz w:val="26"/>
          <w:szCs w:val="26"/>
          <w:lang w:eastAsia="tr-TR"/>
        </w:rPr>
        <w:t xml:space="preserve">Bu yetki kapsamında, sektörde rekabeti bozucu veya sınırlayıcı faaliyetlerin engellenmesi, e-ticarette çok oyunculu bir yapının tesis edilmesi ve e-ticaretin sağlık bir şekilde büyümesi amacıyla 7416 sayılı Elektronik Ticaretin Düzenlenmesi Hakkında Kanunda Değişiklik Yapılmasına Dair Kanun Teklifi 1.7.2022 tarihinde TBMM’de kabul edilmiş, 7.7.2022 tarihinde Resmi Gazete’de yayımlanmıştır. </w:t>
      </w:r>
      <w:proofErr w:type="gramEnd"/>
      <w:r w:rsidRPr="0026765E">
        <w:rPr>
          <w:rFonts w:ascii="Arial" w:eastAsia="Times New Roman" w:hAnsi="Arial" w:cs="Arial"/>
          <w:color w:val="212529"/>
          <w:sz w:val="26"/>
          <w:szCs w:val="26"/>
          <w:lang w:eastAsia="tr-TR"/>
        </w:rPr>
        <w:t>7 Temmuz 2022 tarihli Resmi Gazete’de yayımlanan 7416 Sayılı Elektronik Ticaretin Düzenlenmesi Hakkında Kanunda Değişiklik Yapılmasına Dair Kanun’da yapılan güncellemelerle;</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Hukuka aykırı içeriklerin önlenmesi,</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E-ticaret pazar yerlerindeki satıcılara yönelik haksız ticari uygulamaların sonlandırılması,</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Rekabeti bozucu şekilde reklam verilmesinin önüne geçilmesi,</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proofErr w:type="spellStart"/>
      <w:r w:rsidRPr="0026765E">
        <w:rPr>
          <w:rFonts w:ascii="Arial" w:eastAsia="Times New Roman" w:hAnsi="Arial" w:cs="Arial"/>
          <w:color w:val="212529"/>
          <w:sz w:val="26"/>
          <w:szCs w:val="26"/>
          <w:lang w:eastAsia="tr-TR"/>
        </w:rPr>
        <w:t>ETAHS’nin</w:t>
      </w:r>
      <w:proofErr w:type="spellEnd"/>
      <w:r w:rsidRPr="0026765E">
        <w:rPr>
          <w:rFonts w:ascii="Arial" w:eastAsia="Times New Roman" w:hAnsi="Arial" w:cs="Arial"/>
          <w:color w:val="212529"/>
          <w:sz w:val="26"/>
          <w:szCs w:val="26"/>
          <w:lang w:eastAsia="tr-TR"/>
        </w:rPr>
        <w:t xml:space="preserve"> pazar yerinden elde ettiği verileri pazar yerinde faaliyet gösteren diğer işletmelerle rekabet ederken kullanmasının önüne geçilmesi,</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xml:space="preserve">Belirli hadleri aşan </w:t>
      </w:r>
      <w:proofErr w:type="spellStart"/>
      <w:r w:rsidRPr="0026765E">
        <w:rPr>
          <w:rFonts w:ascii="Arial" w:eastAsia="Times New Roman" w:hAnsi="Arial" w:cs="Arial"/>
          <w:color w:val="212529"/>
          <w:sz w:val="26"/>
          <w:szCs w:val="26"/>
          <w:lang w:eastAsia="tr-TR"/>
        </w:rPr>
        <w:t>ETAHS’lerin</w:t>
      </w:r>
      <w:proofErr w:type="spellEnd"/>
      <w:r w:rsidRPr="0026765E">
        <w:rPr>
          <w:rFonts w:ascii="Arial" w:eastAsia="Times New Roman" w:hAnsi="Arial" w:cs="Arial"/>
          <w:color w:val="212529"/>
          <w:sz w:val="26"/>
          <w:szCs w:val="26"/>
          <w:lang w:eastAsia="tr-TR"/>
        </w:rPr>
        <w:t xml:space="preserve"> ödeme hizmetleri ile kargo ve lojistik gibi stratejik sektörlerdeki faaliyetlerinin sınırlandırılması,</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Üreticileri ve ulusal markaları korumak amacıyla pazar yerlerinin kendilerine ait markalı ürünlerinin satışının platformdan ayrıştırılması,</w:t>
      </w:r>
    </w:p>
    <w:p w:rsidR="0026765E" w:rsidRPr="0026765E" w:rsidRDefault="0026765E" w:rsidP="0026765E">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xml:space="preserve">Belli büyüklükteki ETAHS ve </w:t>
      </w:r>
      <w:proofErr w:type="spellStart"/>
      <w:r w:rsidRPr="0026765E">
        <w:rPr>
          <w:rFonts w:ascii="Arial" w:eastAsia="Times New Roman" w:hAnsi="Arial" w:cs="Arial"/>
          <w:color w:val="212529"/>
          <w:sz w:val="26"/>
          <w:szCs w:val="26"/>
          <w:lang w:eastAsia="tr-TR"/>
        </w:rPr>
        <w:t>ETHS’lerin</w:t>
      </w:r>
      <w:proofErr w:type="spellEnd"/>
      <w:r w:rsidRPr="0026765E">
        <w:rPr>
          <w:rFonts w:ascii="Arial" w:eastAsia="Times New Roman" w:hAnsi="Arial" w:cs="Arial"/>
          <w:color w:val="212529"/>
          <w:sz w:val="26"/>
          <w:szCs w:val="26"/>
          <w:lang w:eastAsia="tr-TR"/>
        </w:rPr>
        <w:t xml:space="preserve"> lisanslandırılması amaçlanmıştır.</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w:t>
      </w:r>
    </w:p>
    <w:p w:rsidR="0026765E" w:rsidRPr="0026765E" w:rsidRDefault="0026765E" w:rsidP="0026765E">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b/>
          <w:bCs/>
          <w:color w:val="212529"/>
          <w:sz w:val="26"/>
          <w:lang w:eastAsia="tr-TR"/>
        </w:rPr>
        <w:t>Yönetmelik</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Kanunun uygulanmasına ilişkin usul ve esasları belirlemek ve kamuoyunda oluşabilecek soru işaretlerini gidermek amacıyla Elektronik Ticaret Aracı Hizmet Sağlayıcı ve Elektronik Ticaret Hizmet Sağlayıcılar Hakkında Yönetmelik hazırlanarak 29 Aralık 2022 tarihli ve 32058 sayılı Resmî Gazete’de yayımlanmıştır. Bu yönetmelik kapsamında;</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lastRenderedPageBreak/>
        <w:t>Alıcılar bakımından mağduriyetlerin önlenmesi adına elektronik ticaret aracı hizmet sağlayıcı ve elektronik ticaret hizmet sağlayıcıların bilgi vermesi</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Elektronik ticaret hizmet sağlayıcıların haksız uygulamalarla karşı karşıya kalmaması adına aracılık sözleşmesinin asgari unsurları belirlenmesi</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xml:space="preserve">Elektronik ticaret aracı hizmet sağlayıcılar ile elektronik ticaret hizmet sağlayıcılar arasında gerçekleşecek iletişimin kolay ve ücretsiz sağlanmasına yönelik </w:t>
      </w:r>
      <w:proofErr w:type="gramStart"/>
      <w:r w:rsidRPr="0026765E">
        <w:rPr>
          <w:rFonts w:ascii="Arial" w:eastAsia="Times New Roman" w:hAnsi="Arial" w:cs="Arial"/>
          <w:color w:val="212529"/>
          <w:sz w:val="26"/>
          <w:szCs w:val="26"/>
          <w:lang w:eastAsia="tr-TR"/>
        </w:rPr>
        <w:t>dahili</w:t>
      </w:r>
      <w:proofErr w:type="gramEnd"/>
      <w:r w:rsidRPr="0026765E">
        <w:rPr>
          <w:rFonts w:ascii="Arial" w:eastAsia="Times New Roman" w:hAnsi="Arial" w:cs="Arial"/>
          <w:color w:val="212529"/>
          <w:sz w:val="26"/>
          <w:szCs w:val="26"/>
          <w:lang w:eastAsia="tr-TR"/>
        </w:rPr>
        <w:t xml:space="preserve"> iletişim sisteminin kurulması</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xml:space="preserve">Fikri ve </w:t>
      </w:r>
      <w:proofErr w:type="gramStart"/>
      <w:r w:rsidRPr="0026765E">
        <w:rPr>
          <w:rFonts w:ascii="Arial" w:eastAsia="Times New Roman" w:hAnsi="Arial" w:cs="Arial"/>
          <w:color w:val="212529"/>
          <w:sz w:val="26"/>
          <w:szCs w:val="26"/>
          <w:lang w:eastAsia="tr-TR"/>
        </w:rPr>
        <w:t>sınai</w:t>
      </w:r>
      <w:proofErr w:type="gramEnd"/>
      <w:r w:rsidRPr="0026765E">
        <w:rPr>
          <w:rFonts w:ascii="Arial" w:eastAsia="Times New Roman" w:hAnsi="Arial" w:cs="Arial"/>
          <w:color w:val="212529"/>
          <w:sz w:val="26"/>
          <w:szCs w:val="26"/>
          <w:lang w:eastAsia="tr-TR"/>
        </w:rPr>
        <w:t xml:space="preserve"> mülkiyet hakkı ihlallerinin önlenmesi</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Rekabeti bozucu şekilde reklam verilmesinin önüne geçilmesi</w:t>
      </w:r>
    </w:p>
    <w:p w:rsidR="0026765E" w:rsidRPr="0026765E" w:rsidRDefault="0026765E" w:rsidP="0026765E">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Lisans alma ve lisansın yenilenmesine ilişkin Bakanlığa yapılacak başvuru ve başvurunun sonuçlandırmasına yönelik usullerin belirlenmesi amaçlanmıştır.</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w:t>
      </w:r>
    </w:p>
    <w:p w:rsidR="0026765E" w:rsidRPr="0026765E" w:rsidRDefault="0026765E" w:rsidP="0026765E">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b/>
          <w:bCs/>
          <w:color w:val="212529"/>
          <w:sz w:val="26"/>
          <w:lang w:eastAsia="tr-TR"/>
        </w:rPr>
        <w:t>Güven Damgası Tebliği</w:t>
      </w:r>
    </w:p>
    <w:p w:rsid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6 Haziran 2017’de yayımlanan Elektronik Ticarette Güven Damgası Hakkında Tebliğ ile güvenlik ve hizmet kalitesi standartlarını sağlayan ETAHS ve </w:t>
      </w:r>
      <w:proofErr w:type="spellStart"/>
      <w:r w:rsidRPr="0026765E">
        <w:rPr>
          <w:rFonts w:ascii="Arial" w:eastAsia="Times New Roman" w:hAnsi="Arial" w:cs="Arial"/>
          <w:color w:val="212529"/>
          <w:sz w:val="26"/>
          <w:szCs w:val="26"/>
          <w:lang w:eastAsia="tr-TR"/>
        </w:rPr>
        <w:t>ETHS’lere</w:t>
      </w:r>
      <w:proofErr w:type="spellEnd"/>
      <w:r w:rsidRPr="0026765E">
        <w:rPr>
          <w:rFonts w:ascii="Arial" w:eastAsia="Times New Roman" w:hAnsi="Arial" w:cs="Arial"/>
          <w:color w:val="212529"/>
          <w:sz w:val="26"/>
          <w:szCs w:val="26"/>
          <w:lang w:eastAsia="tr-TR"/>
        </w:rPr>
        <w:t xml:space="preserve"> Bakanlığımız tarafından yetkilendirilen TOBB aracılığı ile Güven Damgası işareti verilmiştir.</w:t>
      </w:r>
    </w:p>
    <w:p w:rsid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b/>
          <w:bCs/>
          <w:color w:val="212529"/>
          <w:sz w:val="26"/>
          <w:lang w:eastAsia="tr-TR"/>
        </w:rPr>
        <w:t>Güven Damgası Tahsis Edilen E-ticaret Siteleri:</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Tüketicinin korunması, kişisel veriler ve ödeme sistemleri konusunda ilgili mevzuatlara uygun davranacak ve güvenilir bir otorite tarafından denetlenecek.</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İnternet sitelerinde ve mobil platformlarında bilgilerin yalnızca internet sitesi ve alıcı tarafından görülmesini sağlayan EV SSL veya SSL gibi sertifikalar kullanacak ve belli aralıklarla yapılan sızma testleriyle varsa güvenlik açıklarını tespit edebilecek.</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Alıcıların siparişi hakkında bilgi alabilmesi, talep ve şikâyetlerini telefon aracılığıyla iletebilmesi için müşteri hizmetleriyle iletişim imkânı sunacak, talep ve şikâyetlerin etkin bir şekilde yönetilmesini ve sonuçlandırılmasını sağlayacak.</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Elektronik ticarete konu malın stok bilgisi, içeriği, malzemesi, ölçüleri gibi özelliklerine ilişkin detaylar ile gerçek boyutlarının anlaşılmasını mümkün kılan görseller gibi birçok ayrıntıya yer verecek.</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Alıcıya siparişinin durumu hakkında bilgi ve kargo takip imkânı sunacak.</w:t>
      </w:r>
    </w:p>
    <w:p w:rsidR="0026765E" w:rsidRPr="0026765E" w:rsidRDefault="0026765E" w:rsidP="0026765E">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Ayrıca, GDS tarafından oluşturulacak çevrim içi şikâyet sistemi ile e-ticarette ortaya çıkan uyuşmazlıklar hızlı ve etkin bir şekilde çözümlenebilecek.</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 </w:t>
      </w:r>
      <w:r w:rsidRPr="0026765E">
        <w:rPr>
          <w:rFonts w:ascii="Arial" w:eastAsia="Times New Roman" w:hAnsi="Arial" w:cs="Arial"/>
          <w:b/>
          <w:bCs/>
          <w:color w:val="212529"/>
          <w:sz w:val="26"/>
          <w:lang w:eastAsia="tr-TR"/>
        </w:rPr>
        <w:t>Güven Damgası Sisteminin Faydaları:</w:t>
      </w:r>
    </w:p>
    <w:p w:rsidR="0026765E" w:rsidRPr="0026765E" w:rsidRDefault="0026765E" w:rsidP="0026765E">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Güven damgasını internet sitesinde gören vatandaşlarımız e-ticaret sitesinin belirli standartları yerine getirdiğini, tüketicinin korunması, kişisel veriler ve ödeme sistemleri konusunda ilgili mevzuatlara uygun davrandığını, güvenilir bir otorite tarafından denetlendiğini bilecek ve alışveriş yaparken kendini güvende hissedecektir.</w:t>
      </w:r>
    </w:p>
    <w:p w:rsidR="0026765E" w:rsidRPr="0026765E" w:rsidRDefault="0026765E" w:rsidP="0026765E">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Güven damgası ile ürüne ve kargoya yönelik talep ve şikâyetlere ilişkin sunulması gereken hizmetlerle, e-ticaret sitelerinin hizmet kalitesinin arttırılması sağlanacaktır.</w:t>
      </w:r>
    </w:p>
    <w:p w:rsidR="0026765E" w:rsidRPr="0026765E" w:rsidRDefault="0026765E" w:rsidP="0026765E">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Güven damgası, özellikle e-ticaret yapan küçük işletmelerimizin güven algısı yaratabilmelerinde ve markalaşmalarında önemli rol oynayacaktır.</w:t>
      </w:r>
    </w:p>
    <w:p w:rsidR="0026765E" w:rsidRPr="0026765E" w:rsidRDefault="0026765E" w:rsidP="0026765E">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Avrupa Çok-Kanallı ve Çevrimiçi Ticaret Derneğinin (EMOTA) uluslararası geçerliliği olan logosunun güven damgası alan işletmeler tarafından kullanılması işletmelerimizin yeni pazarlara açılması ve yeni müşterilere ulaşmasını kolaylaştıracaktır.</w:t>
      </w:r>
    </w:p>
    <w:p w:rsidR="0026765E" w:rsidRPr="0026765E" w:rsidRDefault="0026765E" w:rsidP="0026765E">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E-ticaret girişimcilerinin tanınırlığının, itibarının, ulusal ve uluslararası rekabet gücünün ve elektronik ticaret hacminin arttırılması sağlanacaktır.</w:t>
      </w:r>
    </w:p>
    <w:p w:rsidR="0026765E" w:rsidRPr="0026765E" w:rsidRDefault="0026765E" w:rsidP="0026765E">
      <w:pPr>
        <w:shd w:val="clear" w:color="auto" w:fill="FFFFFF"/>
        <w:spacing w:after="0" w:line="240" w:lineRule="auto"/>
        <w:jc w:val="both"/>
        <w:rPr>
          <w:rFonts w:ascii="Arial" w:eastAsia="Times New Roman" w:hAnsi="Arial" w:cs="Arial"/>
          <w:color w:val="212529"/>
          <w:sz w:val="26"/>
          <w:szCs w:val="26"/>
          <w:lang w:eastAsia="tr-TR"/>
        </w:rPr>
      </w:pPr>
      <w:r w:rsidRPr="0026765E">
        <w:rPr>
          <w:rFonts w:ascii="Arial" w:eastAsia="Times New Roman" w:hAnsi="Arial" w:cs="Arial"/>
          <w:color w:val="212529"/>
          <w:sz w:val="26"/>
          <w:szCs w:val="26"/>
          <w:lang w:eastAsia="tr-TR"/>
        </w:rPr>
        <w:t>Güven damgası başvuruları </w:t>
      </w:r>
      <w:hyperlink r:id="rId5" w:history="1">
        <w:r w:rsidRPr="0026765E">
          <w:rPr>
            <w:rFonts w:ascii="Arial" w:eastAsia="Times New Roman" w:hAnsi="Arial" w:cs="Arial"/>
            <w:color w:val="007BFF"/>
            <w:sz w:val="26"/>
            <w:u w:val="single"/>
            <w:lang w:eastAsia="tr-TR"/>
          </w:rPr>
          <w:t>www.guvendamgasi.org.tr</w:t>
        </w:r>
      </w:hyperlink>
      <w:r w:rsidRPr="0026765E">
        <w:rPr>
          <w:rFonts w:ascii="Arial" w:eastAsia="Times New Roman" w:hAnsi="Arial" w:cs="Arial"/>
          <w:color w:val="212529"/>
          <w:sz w:val="26"/>
          <w:szCs w:val="26"/>
          <w:lang w:eastAsia="tr-TR"/>
        </w:rPr>
        <w:t> adresinden yapılmaktadır.</w:t>
      </w:r>
    </w:p>
    <w:p w:rsidR="001E3852" w:rsidRDefault="001E3852"/>
    <w:sectPr w:rsidR="001E3852" w:rsidSect="001E38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591"/>
    <w:multiLevelType w:val="multilevel"/>
    <w:tmpl w:val="5A9C76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9732DEE"/>
    <w:multiLevelType w:val="multilevel"/>
    <w:tmpl w:val="60AC104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A5C1954"/>
    <w:multiLevelType w:val="multilevel"/>
    <w:tmpl w:val="D20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D18C5"/>
    <w:multiLevelType w:val="multilevel"/>
    <w:tmpl w:val="A58C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66186"/>
    <w:multiLevelType w:val="multilevel"/>
    <w:tmpl w:val="59E0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1310D"/>
    <w:multiLevelType w:val="multilevel"/>
    <w:tmpl w:val="F2425FE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D17274C"/>
    <w:multiLevelType w:val="multilevel"/>
    <w:tmpl w:val="AF5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C50E5"/>
    <w:multiLevelType w:val="multilevel"/>
    <w:tmpl w:val="43D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lvlOverride w:ilvl="0">
      <w:startOverride w:val="2"/>
    </w:lvlOverride>
  </w:num>
  <w:num w:numId="5">
    <w:abstractNumId w:val="7"/>
  </w:num>
  <w:num w:numId="6">
    <w:abstractNumId w:val="5"/>
    <w:lvlOverride w:ilvl="0">
      <w:startOverride w:val="3"/>
    </w:lvlOverride>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6765E"/>
    <w:rsid w:val="001E3852"/>
    <w:rsid w:val="002676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52"/>
  </w:style>
  <w:style w:type="paragraph" w:styleId="Balk2">
    <w:name w:val="heading 2"/>
    <w:basedOn w:val="Normal"/>
    <w:link w:val="Balk2Char"/>
    <w:uiPriority w:val="9"/>
    <w:qFormat/>
    <w:rsid w:val="002676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6765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6765E"/>
    <w:rPr>
      <w:color w:val="0000FF"/>
      <w:u w:val="single"/>
    </w:rPr>
  </w:style>
  <w:style w:type="character" w:styleId="Gl">
    <w:name w:val="Strong"/>
    <w:basedOn w:val="VarsaylanParagrafYazTipi"/>
    <w:uiPriority w:val="22"/>
    <w:qFormat/>
    <w:rsid w:val="0026765E"/>
    <w:rPr>
      <w:b/>
      <w:bCs/>
    </w:rPr>
  </w:style>
</w:styles>
</file>

<file path=word/webSettings.xml><?xml version="1.0" encoding="utf-8"?>
<w:webSettings xmlns:r="http://schemas.openxmlformats.org/officeDocument/2006/relationships" xmlns:w="http://schemas.openxmlformats.org/wordprocessingml/2006/main">
  <w:divs>
    <w:div w:id="16897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vendamgasi.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2023-11-01T11:59:00Z</dcterms:created>
  <dcterms:modified xsi:type="dcterms:W3CDTF">2023-11-01T12:00:00Z</dcterms:modified>
</cp:coreProperties>
</file>