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42" w:rsidRPr="00C63542" w:rsidRDefault="00C63542" w:rsidP="00C63542">
      <w:pPr>
        <w:spacing w:after="243" w:line="240" w:lineRule="auto"/>
        <w:outlineLvl w:val="1"/>
        <w:rPr>
          <w:rFonts w:ascii="Arial" w:eastAsia="Times New Roman" w:hAnsi="Arial" w:cs="Arial"/>
          <w:b/>
          <w:bCs/>
          <w:color w:val="09376B"/>
          <w:sz w:val="42"/>
          <w:szCs w:val="42"/>
          <w:lang w:eastAsia="tr-TR"/>
        </w:rPr>
      </w:pPr>
      <w:r w:rsidRPr="00C63542">
        <w:rPr>
          <w:rFonts w:ascii="Arial" w:eastAsia="Times New Roman" w:hAnsi="Arial" w:cs="Arial"/>
          <w:b/>
          <w:bCs/>
          <w:color w:val="09376B"/>
          <w:sz w:val="42"/>
          <w:szCs w:val="42"/>
          <w:lang w:eastAsia="tr-TR"/>
        </w:rPr>
        <w:t>Yurt Dışı Teknik Müşavirlik Destekleri</w:t>
      </w:r>
    </w:p>
    <w:p w:rsidR="00C63542" w:rsidRPr="00C63542" w:rsidRDefault="00C63542" w:rsidP="00C63542">
      <w:pPr>
        <w:spacing w:after="100" w:afterAutospacing="1" w:line="240" w:lineRule="auto"/>
        <w:jc w:val="both"/>
        <w:rPr>
          <w:rFonts w:ascii="Arial" w:eastAsia="Times New Roman" w:hAnsi="Arial" w:cs="Arial"/>
          <w:color w:val="09376B"/>
          <w:sz w:val="28"/>
          <w:szCs w:val="28"/>
          <w:lang w:eastAsia="tr-TR"/>
        </w:rPr>
      </w:pPr>
      <w:r w:rsidRPr="00C63542">
        <w:rPr>
          <w:rFonts w:ascii="Arial" w:eastAsia="Times New Roman" w:hAnsi="Arial" w:cs="Arial"/>
          <w:color w:val="09376B"/>
          <w:sz w:val="28"/>
          <w:szCs w:val="28"/>
          <w:lang w:eastAsia="tr-TR"/>
        </w:rPr>
        <w:t>Bakanlığımızca sunulan yurt dışı teknik müşavirlik desteklerine yönelik mevzuat ve detaylı bilgilere buradan erişebilirsiniz.</w:t>
      </w:r>
    </w:p>
    <w:p w:rsidR="00C63542" w:rsidRPr="00C63542" w:rsidRDefault="00C63542" w:rsidP="00C63542">
      <w:pPr>
        <w:spacing w:after="0" w:line="240" w:lineRule="auto"/>
        <w:rPr>
          <w:rFonts w:ascii="Arial" w:eastAsia="Times New Roman" w:hAnsi="Arial" w:cs="Arial"/>
          <w:color w:val="212529"/>
          <w:sz w:val="28"/>
          <w:szCs w:val="28"/>
          <w:lang w:eastAsia="tr-TR"/>
        </w:rPr>
      </w:pPr>
      <w:r w:rsidRPr="00C63542">
        <w:rPr>
          <w:rFonts w:ascii="Arial" w:eastAsia="Times New Roman" w:hAnsi="Arial" w:cs="Arial"/>
          <w:b/>
          <w:bCs/>
          <w:color w:val="745E36"/>
          <w:sz w:val="28"/>
          <w:szCs w:val="28"/>
          <w:lang w:eastAsia="tr-TR"/>
        </w:rPr>
        <w:t>12 Ekim 2022</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Ticaret Bakanlığı teknik müşavirlik hizmetlerine yönelik olarak kapsamlı bir Devlet Yardımı programı yürütmektedir. </w:t>
      </w:r>
      <w:proofErr w:type="gramStart"/>
      <w:r w:rsidRPr="00C63542">
        <w:rPr>
          <w:rFonts w:ascii="Arial" w:eastAsia="Times New Roman" w:hAnsi="Arial" w:cs="Arial"/>
          <w:color w:val="212529"/>
          <w:sz w:val="28"/>
          <w:szCs w:val="28"/>
          <w:lang w:eastAsia="tr-TR"/>
        </w:rPr>
        <w:t>Bu program ile teknik müşavirlik şirketlerinin yurtdışındaki ofisleri, reklam, tanıtım ve pazarlama faaliyetleri, yurtdışı fuar, seminer ve konferanslara katılımları, pazar araştırması seyahatleri, mesleki sorumluluk sigortası ve yazılım harcamaları, yurtdışı teknik eğitim programlarına ve uluslararası mesleki yarışmalara katılımları, en az 4 katılımcı firma ile düzenleyecekleri yurtdışı heyetler, yurtdışında girmiş oldukları ihaleler sonucunda aldıkları teknik müşavirlik işleri Fiyat İstikrar ve Destekleme Fonu’ndan sağlanan kaynak ile desteklenmektedir.</w:t>
      </w:r>
      <w:proofErr w:type="gramEnd"/>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Ayrıca, teknik müşavirlik, </w:t>
      </w:r>
      <w:proofErr w:type="gramStart"/>
      <w:r w:rsidRPr="00C63542">
        <w:rPr>
          <w:rFonts w:ascii="Arial" w:eastAsia="Times New Roman" w:hAnsi="Arial" w:cs="Arial"/>
          <w:color w:val="212529"/>
          <w:sz w:val="28"/>
          <w:szCs w:val="28"/>
          <w:lang w:eastAsia="tr-TR"/>
        </w:rPr>
        <w:t>müteahhitlik</w:t>
      </w:r>
      <w:proofErr w:type="gramEnd"/>
      <w:r w:rsidRPr="00C63542">
        <w:rPr>
          <w:rFonts w:ascii="Arial" w:eastAsia="Times New Roman" w:hAnsi="Arial" w:cs="Arial"/>
          <w:color w:val="212529"/>
          <w:sz w:val="28"/>
          <w:szCs w:val="28"/>
          <w:lang w:eastAsia="tr-TR"/>
        </w:rPr>
        <w:t xml:space="preserve"> ve inşaat malzemesi sektör örgütlerinin gerek yurtdışında gerekse yurtiçinde düzenleyecekleri konferans ve seminerler, reklam, tanıtım ve pazarlama faaliyetleri, yurtdışında düzenleyecekleri fuar organizasyonları ve heyetler Fiyat İstikrar ve Destekleme Fonu’ndan desteklenmektedir.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TEKNİK MÜŞAVİRLİK ŞİRKETLERİNE SAĞLANAN DESTEKLER</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Proje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İşverenler tarafından açılan ihaleler neticesinde hizmet, vekâlet veya eser niteliğindeki teslimatlarına karşılık olarak imzalanan sözleşmelerde </w:t>
      </w:r>
      <w:proofErr w:type="spellStart"/>
      <w:r w:rsidRPr="00C63542">
        <w:rPr>
          <w:rFonts w:ascii="Arial" w:eastAsia="Times New Roman" w:hAnsi="Arial" w:cs="Arial"/>
          <w:color w:val="212529"/>
          <w:sz w:val="28"/>
          <w:szCs w:val="28"/>
          <w:lang w:eastAsia="tr-TR"/>
        </w:rPr>
        <w:t>TMŞ’ler</w:t>
      </w:r>
      <w:proofErr w:type="spellEnd"/>
      <w:r w:rsidRPr="00C63542">
        <w:rPr>
          <w:rFonts w:ascii="Arial" w:eastAsia="Times New Roman" w:hAnsi="Arial" w:cs="Arial"/>
          <w:color w:val="212529"/>
          <w:sz w:val="28"/>
          <w:szCs w:val="28"/>
          <w:lang w:eastAsia="tr-TR"/>
        </w:rPr>
        <w:t>;</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a)            Sözleşme bedeli 2.000.000 ABD Doları’na kadar olan projeler için %20 oranında, en fazla 300.000 ABD Doları,</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b)           Sözleşme bedeli 2.000.000 ABD Doları’ndan 5.000.000 ABD Doları’na kadar olan projeler için %15 oranında, en fazla 500.000 ABD Doları,</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c)            Sözleşme bedeli 5.000.000 ABD Doları’ndan 10.000.000 ABD Doları’na kadar olan projeler için %10 oranında, en fazla 750.000 ABD Doları,</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ç)            Sözleşme bedeli 10.000.000 ABD Doları ve üzerinde olan projeler için %7,5 oranında, en fazla 1.000.000 ABD Doları,</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63542">
        <w:rPr>
          <w:rFonts w:ascii="Arial" w:eastAsia="Times New Roman" w:hAnsi="Arial" w:cs="Arial"/>
          <w:color w:val="212529"/>
          <w:sz w:val="28"/>
          <w:szCs w:val="28"/>
          <w:lang w:eastAsia="tr-TR"/>
        </w:rPr>
        <w:lastRenderedPageBreak/>
        <w:t>desteklenmektedir</w:t>
      </w:r>
      <w:proofErr w:type="gramEnd"/>
      <w:r w:rsidRPr="00C63542">
        <w:rPr>
          <w:rFonts w:ascii="Arial" w:eastAsia="Times New Roman" w:hAnsi="Arial" w:cs="Arial"/>
          <w:color w:val="212529"/>
          <w:sz w:val="28"/>
          <w:szCs w:val="28"/>
          <w:lang w:eastAsia="tr-TR"/>
        </w:rPr>
        <w:t>.</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Yurtdışı Ofis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En fazla 7 (yedi) yurt dışı ofis için,</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a. Kira </w:t>
      </w:r>
      <w:proofErr w:type="gramStart"/>
      <w:r w:rsidRPr="00C63542">
        <w:rPr>
          <w:rFonts w:ascii="Arial" w:eastAsia="Times New Roman" w:hAnsi="Arial" w:cs="Arial"/>
          <w:color w:val="212529"/>
          <w:sz w:val="28"/>
          <w:szCs w:val="28"/>
          <w:lang w:eastAsia="tr-TR"/>
        </w:rPr>
        <w:t>Desteği : Yıllık</w:t>
      </w:r>
      <w:proofErr w:type="gramEnd"/>
      <w:r w:rsidRPr="00C63542">
        <w:rPr>
          <w:rFonts w:ascii="Arial" w:eastAsia="Times New Roman" w:hAnsi="Arial" w:cs="Arial"/>
          <w:color w:val="212529"/>
          <w:sz w:val="28"/>
          <w:szCs w:val="28"/>
          <w:lang w:eastAsia="tr-TR"/>
        </w:rPr>
        <w:t xml:space="preserve"> 40.000 ABD Dolarını aşmamak kaydıyla kira bedelinin % 50’si,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b. İstihdam </w:t>
      </w:r>
      <w:proofErr w:type="gramStart"/>
      <w:r w:rsidRPr="00C63542">
        <w:rPr>
          <w:rFonts w:ascii="Arial" w:eastAsia="Times New Roman" w:hAnsi="Arial" w:cs="Arial"/>
          <w:color w:val="212529"/>
          <w:sz w:val="28"/>
          <w:szCs w:val="28"/>
          <w:lang w:eastAsia="tr-TR"/>
        </w:rPr>
        <w:t>Desteği :</w:t>
      </w:r>
      <w:proofErr w:type="gramEnd"/>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T.C. vatandaşı Yönetici Personel için, yıllık 60.000 ABD Dolarını aşmamak kaydıyla brüt maaşın % 50’si,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Büro Personeli için, yıllık 36.000 ABD Dolarını aşmamak kaydıyla brüt maaşın % 50’si,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c. Danışmanlık </w:t>
      </w:r>
      <w:proofErr w:type="gramStart"/>
      <w:r w:rsidRPr="00C63542">
        <w:rPr>
          <w:rFonts w:ascii="Arial" w:eastAsia="Times New Roman" w:hAnsi="Arial" w:cs="Arial"/>
          <w:color w:val="212529"/>
          <w:sz w:val="28"/>
          <w:szCs w:val="28"/>
          <w:lang w:eastAsia="tr-TR"/>
        </w:rPr>
        <w:t>Desteği : Yıllık</w:t>
      </w:r>
      <w:proofErr w:type="gramEnd"/>
      <w:r w:rsidRPr="00C63542">
        <w:rPr>
          <w:rFonts w:ascii="Arial" w:eastAsia="Times New Roman" w:hAnsi="Arial" w:cs="Arial"/>
          <w:color w:val="212529"/>
          <w:sz w:val="28"/>
          <w:szCs w:val="28"/>
          <w:lang w:eastAsia="tr-TR"/>
        </w:rPr>
        <w:t xml:space="preserve"> 30.000 ABD Dolarını aşmamak kaydıyla harcamaların %50’si,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63542">
        <w:rPr>
          <w:rFonts w:ascii="Arial" w:eastAsia="Times New Roman" w:hAnsi="Arial" w:cs="Arial"/>
          <w:color w:val="212529"/>
          <w:sz w:val="28"/>
          <w:szCs w:val="28"/>
          <w:lang w:eastAsia="tr-TR"/>
        </w:rPr>
        <w:t>en</w:t>
      </w:r>
      <w:proofErr w:type="gramEnd"/>
      <w:r w:rsidRPr="00C63542">
        <w:rPr>
          <w:rFonts w:ascii="Arial" w:eastAsia="Times New Roman" w:hAnsi="Arial" w:cs="Arial"/>
          <w:color w:val="212529"/>
          <w:sz w:val="28"/>
          <w:szCs w:val="28"/>
          <w:lang w:eastAsia="tr-TR"/>
        </w:rPr>
        <w:t xml:space="preserve"> fazla 6 (altı) yıl süreyle karşılanmaktadır.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Reklam, Tanıtım ve Pazarlama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Yıllık en fazla 100.000 ABD Dolarını aşmamak kaydıyla reklam, tanıtım,  pazarlama ve halkla ilişkiler harcamalarının % 50’si en fazla 6 (altı) yıl süreyle karşılanmaktadır.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Pazar Araştırması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Yurt dışı pazar araştırması gezilerine ilişkin giderler yılda en fazla 5 adet olmak üzere, %70 oranında ve yurt dışı pazar araştırması gezisi başına en fazla 5.000 ABD Doları karşılanmaktadır.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Yurtdışı Fuar Katılım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proofErr w:type="spellStart"/>
      <w:r w:rsidRPr="00C63542">
        <w:rPr>
          <w:rFonts w:ascii="Arial" w:eastAsia="Times New Roman" w:hAnsi="Arial" w:cs="Arial"/>
          <w:color w:val="212529"/>
          <w:sz w:val="28"/>
          <w:szCs w:val="28"/>
          <w:lang w:eastAsia="tr-TR"/>
        </w:rPr>
        <w:t>Sektörel</w:t>
      </w:r>
      <w:proofErr w:type="spellEnd"/>
      <w:r w:rsidRPr="00C63542">
        <w:rPr>
          <w:rFonts w:ascii="Arial" w:eastAsia="Times New Roman" w:hAnsi="Arial" w:cs="Arial"/>
          <w:color w:val="212529"/>
          <w:sz w:val="28"/>
          <w:szCs w:val="28"/>
          <w:lang w:eastAsia="tr-TR"/>
        </w:rPr>
        <w:t xml:space="preserve"> </w:t>
      </w:r>
      <w:proofErr w:type="spellStart"/>
      <w:r w:rsidRPr="00C63542">
        <w:rPr>
          <w:rFonts w:ascii="Arial" w:eastAsia="Times New Roman" w:hAnsi="Arial" w:cs="Arial"/>
          <w:color w:val="212529"/>
          <w:sz w:val="28"/>
          <w:szCs w:val="28"/>
          <w:lang w:eastAsia="tr-TR"/>
        </w:rPr>
        <w:t>nitekli</w:t>
      </w:r>
      <w:proofErr w:type="spellEnd"/>
      <w:r w:rsidRPr="00C63542">
        <w:rPr>
          <w:rFonts w:ascii="Arial" w:eastAsia="Times New Roman" w:hAnsi="Arial" w:cs="Arial"/>
          <w:color w:val="212529"/>
          <w:sz w:val="28"/>
          <w:szCs w:val="28"/>
          <w:lang w:eastAsia="tr-TR"/>
        </w:rPr>
        <w:t xml:space="preserve"> uluslararası fuar katılımlarında, m2 üzerinden öden stant kirası (ilave </w:t>
      </w:r>
      <w:proofErr w:type="spellStart"/>
      <w:r w:rsidRPr="00C63542">
        <w:rPr>
          <w:rFonts w:ascii="Arial" w:eastAsia="Times New Roman" w:hAnsi="Arial" w:cs="Arial"/>
          <w:color w:val="212529"/>
          <w:sz w:val="28"/>
          <w:szCs w:val="28"/>
          <w:lang w:eastAsia="tr-TR"/>
        </w:rPr>
        <w:t>stand</w:t>
      </w:r>
      <w:proofErr w:type="spellEnd"/>
      <w:r w:rsidRPr="00C63542">
        <w:rPr>
          <w:rFonts w:ascii="Arial" w:eastAsia="Times New Roman" w:hAnsi="Arial" w:cs="Arial"/>
          <w:color w:val="212529"/>
          <w:sz w:val="28"/>
          <w:szCs w:val="28"/>
          <w:lang w:eastAsia="tr-TR"/>
        </w:rPr>
        <w:t xml:space="preserve"> hizmetleri dâhil), tanıtım etkinlikleri, ulaşım </w:t>
      </w:r>
      <w:proofErr w:type="gramStart"/>
      <w:r w:rsidRPr="00C63542">
        <w:rPr>
          <w:rFonts w:ascii="Arial" w:eastAsia="Times New Roman" w:hAnsi="Arial" w:cs="Arial"/>
          <w:color w:val="212529"/>
          <w:sz w:val="28"/>
          <w:szCs w:val="28"/>
          <w:lang w:eastAsia="tr-TR"/>
        </w:rPr>
        <w:t>(</w:t>
      </w:r>
      <w:proofErr w:type="gramEnd"/>
      <w:r w:rsidRPr="00C63542">
        <w:rPr>
          <w:rFonts w:ascii="Arial" w:eastAsia="Times New Roman" w:hAnsi="Arial" w:cs="Arial"/>
          <w:color w:val="212529"/>
          <w:sz w:val="28"/>
          <w:szCs w:val="28"/>
          <w:lang w:eastAsia="tr-TR"/>
        </w:rPr>
        <w:t xml:space="preserve">ekonomi </w:t>
      </w:r>
      <w:proofErr w:type="gramStart"/>
      <w:r w:rsidRPr="00C63542">
        <w:rPr>
          <w:rFonts w:ascii="Arial" w:eastAsia="Times New Roman" w:hAnsi="Arial" w:cs="Arial"/>
          <w:color w:val="212529"/>
          <w:sz w:val="28"/>
          <w:szCs w:val="28"/>
          <w:lang w:eastAsia="tr-TR"/>
        </w:rPr>
        <w:t>sınıfı</w:t>
      </w:r>
      <w:proofErr w:type="gramEnd"/>
      <w:r w:rsidRPr="00C63542">
        <w:rPr>
          <w:rFonts w:ascii="Arial" w:eastAsia="Times New Roman" w:hAnsi="Arial" w:cs="Arial"/>
          <w:color w:val="212529"/>
          <w:sz w:val="28"/>
          <w:szCs w:val="28"/>
          <w:lang w:eastAsia="tr-TR"/>
        </w:rPr>
        <w:t xml:space="preserve"> uçak) ile konaklama giderleri (oda ve kahvaltı) %50 oranında, fuar başına en fazla 15.000 ABD Dolarına kadar karşılanmaktadır.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Seminer ve Konferans Katılım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Yurtdışında düzenlenen </w:t>
      </w:r>
      <w:proofErr w:type="spellStart"/>
      <w:r w:rsidRPr="00C63542">
        <w:rPr>
          <w:rFonts w:ascii="Arial" w:eastAsia="Times New Roman" w:hAnsi="Arial" w:cs="Arial"/>
          <w:color w:val="212529"/>
          <w:sz w:val="28"/>
          <w:szCs w:val="28"/>
          <w:lang w:eastAsia="tr-TR"/>
        </w:rPr>
        <w:t>sektörel</w:t>
      </w:r>
      <w:proofErr w:type="spellEnd"/>
      <w:r w:rsidRPr="00C63542">
        <w:rPr>
          <w:rFonts w:ascii="Arial" w:eastAsia="Times New Roman" w:hAnsi="Arial" w:cs="Arial"/>
          <w:color w:val="212529"/>
          <w:sz w:val="28"/>
          <w:szCs w:val="28"/>
          <w:lang w:eastAsia="tr-TR"/>
        </w:rPr>
        <w:t xml:space="preserve"> nitelikli uluslararası seminer ve konferanslara katılım halinde, en fazla 2 (iki) şirket çalışanının, yol, konaklama (oda ve kahvaltı) ve katılım bedelleri %50 oranında, organizasyon başına en fazla 5.000 ABD Dolarına kadar karşılanmaktadır.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Teknik Müşavirlik ve Teknik Müşavirlik Heyet Programı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Müteahhitlik ve teknik müşavirlik heyeti programları kapsamında; her bir firmadan 2 (iki) temsilcinin ulaşım ve konaklama giderleri %50 oranında karşılanmaktadır. Bakanlık tarafından hedef ülkelere yönelik organize edilen teknik müşavirlik heyeti programlarında destek oranı %90 olarak uygulanmaktadır.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Yurtdışı Eğitim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Firmaların teknik personelinin yurt dışı teknik eğitim programlarına katılımı halinde, program başına 2 (iki) çalışanın yol, konaklama ve katılım giderleri %50 oranında, yıllık en fazla 50.000 ABD Dolarına kadar karşılanmaktadır.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Yazılım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Bilgisayarlı tasarım kapsamında satın alınan veya kiralanan yazılım ürünlerinin lisanslarına ilişkin harcamalar %50 oranında, yıllık en fazla 50.000 ABD Doları desteklenmektedir.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Mesleki Sorumluluk Sigortası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Yurtdışında üstlenileni teknik müşavirlik projeleri kapsamındaki mesleki sorumluluk sigortası yükümlülüklerinden kaynaklanan poliçe alım giderleri %50 oranında, yıllık en fazla 50.000 ABD Doları desteklenmektedir.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Uluslararası Mesleki Yarışmalara Katılım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Uluslararası mesleki yarışmalara katılımlar yol, konaklama (oda ve kahvaltı), katılım bedeli, dosya satın alma, yer görme bedeli giderleri %50 oranında, organizasyon başına azami 10.000 ABD Doları</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63542">
        <w:rPr>
          <w:rFonts w:ascii="Arial" w:eastAsia="Times New Roman" w:hAnsi="Arial" w:cs="Arial"/>
          <w:color w:val="212529"/>
          <w:sz w:val="28"/>
          <w:szCs w:val="28"/>
          <w:lang w:eastAsia="tr-TR"/>
        </w:rPr>
        <w:t>desteklenmektedir</w:t>
      </w:r>
      <w:proofErr w:type="gramEnd"/>
      <w:r w:rsidRPr="00C63542">
        <w:rPr>
          <w:rFonts w:ascii="Arial" w:eastAsia="Times New Roman" w:hAnsi="Arial" w:cs="Arial"/>
          <w:color w:val="212529"/>
          <w:sz w:val="28"/>
          <w:szCs w:val="28"/>
          <w:lang w:eastAsia="tr-TR"/>
        </w:rPr>
        <w:t>.</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SEKTÖR ÖRGÜTLERİNE SAĞLANAN DESTEKLER</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Reklam, Tanıtım ve Pazarlama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Yıllık en fazla 100.000 ABD Dolarını aşmamak kaydıyla reklam, tanıtım,  pazarlama ve halkla ilişkiler harcamalarının % 50’si karşılanmaktadır.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Yurtdışı Fuar Katılım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proofErr w:type="spellStart"/>
      <w:r w:rsidRPr="00C63542">
        <w:rPr>
          <w:rFonts w:ascii="Arial" w:eastAsia="Times New Roman" w:hAnsi="Arial" w:cs="Arial"/>
          <w:color w:val="212529"/>
          <w:sz w:val="28"/>
          <w:szCs w:val="28"/>
          <w:lang w:eastAsia="tr-TR"/>
        </w:rPr>
        <w:t>Sektörel</w:t>
      </w:r>
      <w:proofErr w:type="spellEnd"/>
      <w:r w:rsidRPr="00C63542">
        <w:rPr>
          <w:rFonts w:ascii="Arial" w:eastAsia="Times New Roman" w:hAnsi="Arial" w:cs="Arial"/>
          <w:color w:val="212529"/>
          <w:sz w:val="28"/>
          <w:szCs w:val="28"/>
          <w:lang w:eastAsia="tr-TR"/>
        </w:rPr>
        <w:t xml:space="preserve"> nitelikli uluslararası fuar katılımlarında, m2 üzerinden öden stant kirası (ilave </w:t>
      </w:r>
      <w:proofErr w:type="spellStart"/>
      <w:r w:rsidRPr="00C63542">
        <w:rPr>
          <w:rFonts w:ascii="Arial" w:eastAsia="Times New Roman" w:hAnsi="Arial" w:cs="Arial"/>
          <w:color w:val="212529"/>
          <w:sz w:val="28"/>
          <w:szCs w:val="28"/>
          <w:lang w:eastAsia="tr-TR"/>
        </w:rPr>
        <w:t>stand</w:t>
      </w:r>
      <w:proofErr w:type="spellEnd"/>
      <w:r w:rsidRPr="00C63542">
        <w:rPr>
          <w:rFonts w:ascii="Arial" w:eastAsia="Times New Roman" w:hAnsi="Arial" w:cs="Arial"/>
          <w:color w:val="212529"/>
          <w:sz w:val="28"/>
          <w:szCs w:val="28"/>
          <w:lang w:eastAsia="tr-TR"/>
        </w:rPr>
        <w:t xml:space="preserve"> hizmetleri </w:t>
      </w:r>
      <w:proofErr w:type="gramStart"/>
      <w:r w:rsidRPr="00C63542">
        <w:rPr>
          <w:rFonts w:ascii="Arial" w:eastAsia="Times New Roman" w:hAnsi="Arial" w:cs="Arial"/>
          <w:color w:val="212529"/>
          <w:sz w:val="28"/>
          <w:szCs w:val="28"/>
          <w:lang w:eastAsia="tr-TR"/>
        </w:rPr>
        <w:t>dahil</w:t>
      </w:r>
      <w:proofErr w:type="gramEnd"/>
      <w:r w:rsidRPr="00C63542">
        <w:rPr>
          <w:rFonts w:ascii="Arial" w:eastAsia="Times New Roman" w:hAnsi="Arial" w:cs="Arial"/>
          <w:color w:val="212529"/>
          <w:sz w:val="28"/>
          <w:szCs w:val="28"/>
          <w:lang w:eastAsia="tr-TR"/>
        </w:rPr>
        <w:t>), tanıtım etkinlikleri, ulaşım (ekonomi sınıfı uçak) ile konaklama giderleri (oda ve kahvaltı) %50 oranında, fuar başına en fazla 15.000 ABD Dolarına kadar karşılanmaktadır.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Yurtdışı Fuar Organizasyonu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Yurt dışında düzenlenen </w:t>
      </w:r>
      <w:proofErr w:type="spellStart"/>
      <w:r w:rsidRPr="00C63542">
        <w:rPr>
          <w:rFonts w:ascii="Arial" w:eastAsia="Times New Roman" w:hAnsi="Arial" w:cs="Arial"/>
          <w:color w:val="212529"/>
          <w:sz w:val="28"/>
          <w:szCs w:val="28"/>
          <w:lang w:eastAsia="tr-TR"/>
        </w:rPr>
        <w:t>sektörel</w:t>
      </w:r>
      <w:proofErr w:type="spellEnd"/>
      <w:r w:rsidRPr="00C63542">
        <w:rPr>
          <w:rFonts w:ascii="Arial" w:eastAsia="Times New Roman" w:hAnsi="Arial" w:cs="Arial"/>
          <w:color w:val="212529"/>
          <w:sz w:val="28"/>
          <w:szCs w:val="28"/>
          <w:lang w:eastAsia="tr-TR"/>
        </w:rPr>
        <w:t xml:space="preserve"> nitelikli uluslararası fuarlara milli katılımlarda;</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a)            Salon kirası, sergi ve teknik altyapı kurulmasına ilişkin harcamalar, kokteyl ve/veya yemekli toplantılara ilişkin giderler %90 oranında, her bir organizasyon için en fazla 100.000 ABD Doları,</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b)           Tanıtım filmi, broşür, kitapçık, elektronik ortamda tanıtım/</w:t>
      </w:r>
      <w:proofErr w:type="spellStart"/>
      <w:r w:rsidRPr="00C63542">
        <w:rPr>
          <w:rFonts w:ascii="Arial" w:eastAsia="Times New Roman" w:hAnsi="Arial" w:cs="Arial"/>
          <w:color w:val="212529"/>
          <w:sz w:val="28"/>
          <w:szCs w:val="28"/>
          <w:lang w:eastAsia="tr-TR"/>
        </w:rPr>
        <w:t>videowall</w:t>
      </w:r>
      <w:proofErr w:type="spellEnd"/>
      <w:r w:rsidRPr="00C63542">
        <w:rPr>
          <w:rFonts w:ascii="Arial" w:eastAsia="Times New Roman" w:hAnsi="Arial" w:cs="Arial"/>
          <w:color w:val="212529"/>
          <w:sz w:val="28"/>
          <w:szCs w:val="28"/>
          <w:lang w:eastAsia="tr-TR"/>
        </w:rPr>
        <w:t>, reklam panoları veya afiş biçimindeki tanıtım etkinlikleri ile yurt dışı yazılı ve görsel kitle iletişim araçlarında yayınlanan reklamlara ilişkin harcamalar %90 oranında, fuar organizasyonu başına en fazla 70.000 ABD Doları ve</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c)            Söz konusu organizasyonlara panelist, konuşmacı vb. olarak davet edilen katılımcıların yol (uçak bileti ve transfer) ve konaklama giderlerinin tamamı organizasyon başına en fazla 20.000 ABD Doları desteklenmektedir.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Seminer ve Konferans Katılım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Yurtdışında düzenlenen </w:t>
      </w:r>
      <w:proofErr w:type="spellStart"/>
      <w:r w:rsidRPr="00C63542">
        <w:rPr>
          <w:rFonts w:ascii="Arial" w:eastAsia="Times New Roman" w:hAnsi="Arial" w:cs="Arial"/>
          <w:color w:val="212529"/>
          <w:sz w:val="28"/>
          <w:szCs w:val="28"/>
          <w:lang w:eastAsia="tr-TR"/>
        </w:rPr>
        <w:t>sektörel</w:t>
      </w:r>
      <w:proofErr w:type="spellEnd"/>
      <w:r w:rsidRPr="00C63542">
        <w:rPr>
          <w:rFonts w:ascii="Arial" w:eastAsia="Times New Roman" w:hAnsi="Arial" w:cs="Arial"/>
          <w:color w:val="212529"/>
          <w:sz w:val="28"/>
          <w:szCs w:val="28"/>
          <w:lang w:eastAsia="tr-TR"/>
        </w:rPr>
        <w:t xml:space="preserve"> nitelikli uluslararası seminer ve konferanslara katılım halinde, en fazla 2 (iki) şirket çalışanının, yol, konaklama (oda ve kahvaltı) ve katılım bedelleri %50 oranında, organizasyon başına en fazla 5.000 ABD Dolarına kadar karşılanmaktadır.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Seminer ve Konferans Organizasyonu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a)            Seminer veya konferans faaliyetleri kapsamında salon kirası, sergi ve teknik altyapı kurulmasına ilişkin harcamalar, kokteyl ve/veya yemekli toplantılarına ilişkin giderler %70 oranında (yurtdışı organizasyonlarda %90), her bir organizasyon için en fazla 100.000 ABD Doları,</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b)           Tanıtım filmi, broşür, kitapçık, elektronik ortamda tanıtım/</w:t>
      </w:r>
      <w:proofErr w:type="spellStart"/>
      <w:r w:rsidRPr="00C63542">
        <w:rPr>
          <w:rFonts w:ascii="Arial" w:eastAsia="Times New Roman" w:hAnsi="Arial" w:cs="Arial"/>
          <w:color w:val="212529"/>
          <w:sz w:val="28"/>
          <w:szCs w:val="28"/>
          <w:lang w:eastAsia="tr-TR"/>
        </w:rPr>
        <w:t>videowall</w:t>
      </w:r>
      <w:proofErr w:type="spellEnd"/>
      <w:r w:rsidRPr="00C63542">
        <w:rPr>
          <w:rFonts w:ascii="Arial" w:eastAsia="Times New Roman" w:hAnsi="Arial" w:cs="Arial"/>
          <w:color w:val="212529"/>
          <w:sz w:val="28"/>
          <w:szCs w:val="28"/>
          <w:lang w:eastAsia="tr-TR"/>
        </w:rPr>
        <w:t>, reklam panoları veya afiş biçimindeki tanıtım etkinlikleri ile yurt dışı yazılı ve görsel kitle iletişim araçlarında yayınlanan reklam vb. tanıtım faaliyetlerine ilişkin harcamalar %70 oranında (yurtdışı organizasyonlarda %90),  organizasyon başına en fazla 70.000 ABD Doları ve</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c)            Söz konusu organizasyonlara panelist, konuşmacı vb. olarak davet edilen katılımcıların yol (uçak bileti ve transfer) ve konaklama giderlerinin tamamı organizasyon başına en fazla 20.000 ABD Doları</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proofErr w:type="gramStart"/>
      <w:r w:rsidRPr="00C63542">
        <w:rPr>
          <w:rFonts w:ascii="Arial" w:eastAsia="Times New Roman" w:hAnsi="Arial" w:cs="Arial"/>
          <w:color w:val="212529"/>
          <w:sz w:val="28"/>
          <w:szCs w:val="28"/>
          <w:lang w:eastAsia="tr-TR"/>
        </w:rPr>
        <w:t>desteklenmektedir</w:t>
      </w:r>
      <w:proofErr w:type="gramEnd"/>
      <w:r w:rsidRPr="00C63542">
        <w:rPr>
          <w:rFonts w:ascii="Arial" w:eastAsia="Times New Roman" w:hAnsi="Arial" w:cs="Arial"/>
          <w:color w:val="212529"/>
          <w:sz w:val="28"/>
          <w:szCs w:val="28"/>
          <w:lang w:eastAsia="tr-TR"/>
        </w:rPr>
        <w:t>.</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w:t>
      </w:r>
    </w:p>
    <w:p w:rsidR="00C63542" w:rsidRPr="00C63542" w:rsidRDefault="00C63542" w:rsidP="00C63542">
      <w:pPr>
        <w:shd w:val="clear" w:color="auto" w:fill="FFFFFF"/>
        <w:spacing w:after="100" w:afterAutospacing="1" w:line="240" w:lineRule="auto"/>
        <w:jc w:val="both"/>
        <w:rPr>
          <w:rFonts w:ascii="Arial" w:eastAsia="Times New Roman" w:hAnsi="Arial" w:cs="Arial"/>
          <w:b/>
          <w:color w:val="212529"/>
          <w:sz w:val="28"/>
          <w:szCs w:val="28"/>
          <w:lang w:eastAsia="tr-TR"/>
        </w:rPr>
      </w:pPr>
      <w:r w:rsidRPr="00C63542">
        <w:rPr>
          <w:rFonts w:ascii="Arial" w:eastAsia="Times New Roman" w:hAnsi="Arial" w:cs="Arial"/>
          <w:b/>
          <w:color w:val="212529"/>
          <w:sz w:val="28"/>
          <w:szCs w:val="28"/>
          <w:lang w:eastAsia="tr-TR"/>
        </w:rPr>
        <w:t>Teknik Müşavirlik ve Müteahhitlik Heyet Programı Desteği:</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r w:rsidRPr="00C63542">
        <w:rPr>
          <w:rFonts w:ascii="Arial" w:eastAsia="Times New Roman" w:hAnsi="Arial" w:cs="Arial"/>
          <w:color w:val="212529"/>
          <w:sz w:val="28"/>
          <w:szCs w:val="28"/>
          <w:lang w:eastAsia="tr-TR"/>
        </w:rPr>
        <w:t xml:space="preserve">Bir </w:t>
      </w:r>
      <w:proofErr w:type="gramStart"/>
      <w:r w:rsidRPr="00C63542">
        <w:rPr>
          <w:rFonts w:ascii="Arial" w:eastAsia="Times New Roman" w:hAnsi="Arial" w:cs="Arial"/>
          <w:color w:val="212529"/>
          <w:sz w:val="28"/>
          <w:szCs w:val="28"/>
          <w:lang w:eastAsia="tr-TR"/>
        </w:rPr>
        <w:t>müteahhitlik</w:t>
      </w:r>
      <w:proofErr w:type="gramEnd"/>
      <w:r w:rsidRPr="00C63542">
        <w:rPr>
          <w:rFonts w:ascii="Arial" w:eastAsia="Times New Roman" w:hAnsi="Arial" w:cs="Arial"/>
          <w:color w:val="212529"/>
          <w:sz w:val="28"/>
          <w:szCs w:val="28"/>
          <w:lang w:eastAsia="tr-TR"/>
        </w:rPr>
        <w:t xml:space="preserve"> ve teknik müşavirlik heyeti programı kapsamında organizasyonu yapan Kuruluştan ve 2 (iki) temsilcinin ulaşım ve konaklama giderleri ile programın reklam, pazarlama, danışmanlık, tanıtım ve organizasyon giderleri %50 oranında program başına 150.000 ABD Dolarına kadar karşılanmaktadır. Bakanlık tarafından hedef ülkelere yönelik organize edilen </w:t>
      </w:r>
      <w:proofErr w:type="gramStart"/>
      <w:r w:rsidRPr="00C63542">
        <w:rPr>
          <w:rFonts w:ascii="Arial" w:eastAsia="Times New Roman" w:hAnsi="Arial" w:cs="Arial"/>
          <w:color w:val="212529"/>
          <w:sz w:val="28"/>
          <w:szCs w:val="28"/>
          <w:lang w:eastAsia="tr-TR"/>
        </w:rPr>
        <w:t>müteahhitlik</w:t>
      </w:r>
      <w:proofErr w:type="gramEnd"/>
      <w:r w:rsidRPr="00C63542">
        <w:rPr>
          <w:rFonts w:ascii="Arial" w:eastAsia="Times New Roman" w:hAnsi="Arial" w:cs="Arial"/>
          <w:color w:val="212529"/>
          <w:sz w:val="28"/>
          <w:szCs w:val="28"/>
          <w:lang w:eastAsia="tr-TR"/>
        </w:rPr>
        <w:t xml:space="preserve"> ve teknik müşavirlik heyeti programlarında destek oranı %90 olarak uygulanmaktadır.</w:t>
      </w:r>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hyperlink r:id="rId4" w:history="1">
        <w:r w:rsidRPr="00C63542">
          <w:rPr>
            <w:rFonts w:ascii="Arial" w:eastAsia="Times New Roman" w:hAnsi="Arial" w:cs="Arial"/>
            <w:color w:val="007BFF"/>
            <w:sz w:val="28"/>
            <w:szCs w:val="28"/>
            <w:lang w:eastAsia="tr-TR"/>
          </w:rPr>
          <w:t>Teknik Müşavirlik Hizmetlerine Sağlanacak Devlet Yardımları Hakkında Sıkça Sorulan Sorular</w:t>
        </w:r>
      </w:hyperlink>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hyperlink r:id="rId5" w:tgtFrame="_blank" w:history="1">
        <w:r w:rsidRPr="00C63542">
          <w:rPr>
            <w:rFonts w:ascii="Arial" w:eastAsia="Times New Roman" w:hAnsi="Arial" w:cs="Arial"/>
            <w:color w:val="007BFF"/>
            <w:sz w:val="28"/>
            <w:szCs w:val="28"/>
            <w:lang w:eastAsia="tr-TR"/>
          </w:rPr>
          <w:t>Teknik Müşavirlik Hizmetlerine Sağlanacak Devlet Yardımları Hakkında 2014/10 Sayılı Karar</w:t>
        </w:r>
      </w:hyperlink>
    </w:p>
    <w:p w:rsidR="00C63542" w:rsidRPr="00C63542" w:rsidRDefault="00C63542" w:rsidP="00C63542">
      <w:pPr>
        <w:shd w:val="clear" w:color="auto" w:fill="FFFFFF"/>
        <w:spacing w:after="100" w:afterAutospacing="1" w:line="240" w:lineRule="auto"/>
        <w:jc w:val="both"/>
        <w:rPr>
          <w:rFonts w:ascii="Arial" w:eastAsia="Times New Roman" w:hAnsi="Arial" w:cs="Arial"/>
          <w:color w:val="212529"/>
          <w:sz w:val="28"/>
          <w:szCs w:val="28"/>
          <w:lang w:eastAsia="tr-TR"/>
        </w:rPr>
      </w:pPr>
      <w:hyperlink r:id="rId6" w:history="1">
        <w:r w:rsidRPr="00C63542">
          <w:rPr>
            <w:rFonts w:ascii="Arial" w:eastAsia="Times New Roman" w:hAnsi="Arial" w:cs="Arial"/>
            <w:color w:val="007BFF"/>
            <w:sz w:val="28"/>
            <w:szCs w:val="28"/>
            <w:lang w:eastAsia="tr-TR"/>
          </w:rPr>
          <w:t>Teknik Müşavirlik Hizmetlerine Sağlanacak Devlet Yardımları Hakkında 2014/10 Sayılı Karar'ın Uygulama Usul ve Esaslarına İlişkin Genelge</w:t>
        </w:r>
      </w:hyperlink>
    </w:p>
    <w:p w:rsidR="00E5469E" w:rsidRPr="00C63542" w:rsidRDefault="00E5469E">
      <w:pPr>
        <w:rPr>
          <w:sz w:val="28"/>
          <w:szCs w:val="28"/>
        </w:rPr>
      </w:pPr>
    </w:p>
    <w:sectPr w:rsidR="00E5469E" w:rsidRPr="00C63542" w:rsidSect="00E546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C63542"/>
    <w:rsid w:val="00C63542"/>
    <w:rsid w:val="00E546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9E"/>
  </w:style>
  <w:style w:type="paragraph" w:styleId="Balk2">
    <w:name w:val="heading 2"/>
    <w:basedOn w:val="Normal"/>
    <w:link w:val="Balk2Char"/>
    <w:uiPriority w:val="9"/>
    <w:qFormat/>
    <w:rsid w:val="00C6354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6354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635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63542"/>
    <w:rPr>
      <w:color w:val="0000FF"/>
      <w:u w:val="single"/>
    </w:rPr>
  </w:style>
</w:styles>
</file>

<file path=word/webSettings.xml><?xml version="1.0" encoding="utf-8"?>
<w:webSettings xmlns:r="http://schemas.openxmlformats.org/officeDocument/2006/relationships" xmlns:w="http://schemas.openxmlformats.org/wordprocessingml/2006/main">
  <w:divs>
    <w:div w:id="10504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caret.gov.tr/data/5b8712d313b8761450e18e7d/Genelge-10.12.2021%20(Yeni%20Hali).doc" TargetMode="External"/><Relationship Id="rId5" Type="http://schemas.openxmlformats.org/officeDocument/2006/relationships/hyperlink" Target="https://ticaret.gov.tr/data/5b8712d313b8761450e18e7d/2014-10-karar.pdf" TargetMode="External"/><Relationship Id="rId4" Type="http://schemas.openxmlformats.org/officeDocument/2006/relationships/hyperlink" Target="https://ticaret.gov.tr/data/5b8712d313b8761450e18e7d/soru_cevap.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2023-10-27T13:25:00Z</dcterms:created>
  <dcterms:modified xsi:type="dcterms:W3CDTF">2023-10-27T13:27:00Z</dcterms:modified>
</cp:coreProperties>
</file>