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E" w:rsidRPr="00D311E8" w:rsidRDefault="00E91DFE" w:rsidP="00D311E8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9376B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b/>
          <w:bCs/>
          <w:color w:val="09376B"/>
          <w:sz w:val="24"/>
          <w:szCs w:val="24"/>
          <w:lang w:eastAsia="tr-TR"/>
        </w:rPr>
        <w:t>SÜRELİ YAYIN KURULUŞLARINCA DÜZENLENEN PROMOSYON UYGULAMALARI HAKKINDA BİLGİLENDİRME</w:t>
      </w:r>
    </w:p>
    <w:p w:rsidR="00E91DFE" w:rsidRPr="00D311E8" w:rsidRDefault="00E91DFE" w:rsidP="00D31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b/>
          <w:bCs/>
          <w:color w:val="745E36"/>
          <w:sz w:val="24"/>
          <w:szCs w:val="24"/>
          <w:lang w:eastAsia="tr-TR"/>
        </w:rPr>
        <w:t>19 Ekim 2022</w:t>
      </w: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Hangi uygulamalar süreli yayın </w:t>
      </w:r>
      <w:proofErr w:type="gramStart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promosyonu</w:t>
      </w:r>
      <w:proofErr w:type="gramEnd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olarak kabul edilmektedir?</w:t>
      </w: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Süreli yayın kuruluşlarınca düzenlenen bilet, kupon, iştirak numarası, oyun, çekiliş ve benzeri yollarla süreli yayın dışında ikinci bir mal veya hizmetin verilmesinin taahhüt edildiği veya verildiği uygulamalar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süreli yayın </w:t>
      </w:r>
      <w:proofErr w:type="gramStart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promosyonu</w:t>
      </w:r>
      <w:proofErr w:type="gramEnd"/>
      <w:r w:rsid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olarak kabul edilmektedir. 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Süreli yayın kuruluşlarınca düzenlenen </w:t>
      </w: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uygulamalarına ilişkin usul ve esaslar 6502 sayılı Tüketicinin Korunması Hakkında Kanunun 53 üncü maddesinde ve Süreli Yayın Kuruluşlarınca Düzenlenen Promosyon Uygulamalarına İlişkin Yönetmelikte düzenlenmektedir.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Süreli yayın kuruluşları, </w:t>
      </w:r>
      <w:proofErr w:type="gramStart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uygulamaları kapsamında hangi mal veya hizmetleri tüketicilere sunabilir?</w:t>
      </w:r>
    </w:p>
    <w:p w:rsidR="00E91DFE" w:rsidRP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tr-TR"/>
        </w:rPr>
        <w:t xml:space="preserve">Süreli yayın kuruluşları düzenledikleri </w:t>
      </w: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tr-TR"/>
        </w:rPr>
        <w:t xml:space="preserve"> uygulamalarında;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Kitap, dergi, ansiklopedi,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Harita, atlas, yerküre,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Bayrak, afiş, poster,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Ajanda, takvim,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Kağıt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ortamında basılı bulmaca,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Satranç takımı,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Sinema, tiyatro, müze, konser, opera, bale, sergi, festival ve sportif faaliyetlere ilişkin bilet,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Kültür turu,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Yurtiçi veya yurtdışında ifa edilmesi öngörülen yabancı dil eğitimi</w:t>
      </w:r>
    </w:p>
    <w:p w:rsidR="00E91DFE" w:rsidRPr="00D311E8" w:rsidRDefault="00E91DFE" w:rsidP="00D31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Kitap, dergi, ansiklopedi, belgesel, film, tiyatro, müzik, konser, opera ve baleye ilişkin CD, DVD, </w:t>
      </w:r>
      <w:proofErr w:type="spell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Blu</w:t>
      </w:r>
      <w:proofErr w:type="spell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-Ray ve benzeri optik disk</w:t>
      </w: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dışında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herhangi mal veya hizmet sunamazlar.</w:t>
      </w:r>
    </w:p>
    <w:p w:rsidR="00D311E8" w:rsidRDefault="00D311E8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Promosyon uygulamalarının süresi ne kadardır?</w:t>
      </w:r>
    </w:p>
    <w:p w:rsidR="00E91DFE" w:rsidRP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 uygulamalarının süre sınırları aşağıda belirtilmiştir:</w:t>
      </w:r>
    </w:p>
    <w:p w:rsidR="00E91DFE" w:rsidRPr="00D311E8" w:rsidRDefault="00E91DFE" w:rsidP="00D31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Günlük süreli yayınlarda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75 gün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</w:t>
      </w:r>
    </w:p>
    <w:p w:rsidR="00E91DFE" w:rsidRPr="00D311E8" w:rsidRDefault="00E91DFE" w:rsidP="00D31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Haftalık süreli yayınlarda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18 hafta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</w:t>
      </w:r>
    </w:p>
    <w:p w:rsidR="00E91DFE" w:rsidRPr="00D311E8" w:rsidRDefault="00E91DFE" w:rsidP="00D31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Daha uzun süreli yayınlarda ise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12 ay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 uygulamaları belirtilen bu süreleri aşamaz. Bu süreler içerisinde süreli yayının satış fiyatı, ikinci ürün olarak verilmesi taahhüt edilen mal veya hizmetin yol açtığı maliyet artışı nedeniyle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arttırılamaz. </w:t>
      </w:r>
      <w:proofErr w:type="gramStart"/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Ayrıca,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uygulamasına konu olan mal veya hizmet bedelinin tamamının veya bir bölümünün tüketici tarafından karşılanması istenemez.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 xml:space="preserve">Kupon biriktirilerek yapılan </w:t>
      </w: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uygulamalarında, toplam kupon sayısının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en az yüzde onu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kadar yedek kupon yayımlanması zorunludur.</w:t>
      </w:r>
    </w:p>
    <w:p w:rsidR="00D311E8" w:rsidRDefault="00D311E8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Promosyon uygulamasında teslim ve ifa hangi sürede gerçekleşmelidir?</w:t>
      </w:r>
    </w:p>
    <w:p w:rsidR="00E91DFE" w:rsidRPr="00D311E8" w:rsidRDefault="00E91DFE" w:rsidP="00D3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Süreli yayın kuruluşunun, </w:t>
      </w: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uygulamasına ait reklamlarında uygulamaya konu olan mal veya hizmetin Türkiye genelinde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teslim ve ifa tarihlerine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ilişkin programını ilan etmesi 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lastRenderedPageBreak/>
        <w:t>zorunludur.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  <w:t xml:space="preserve">Promosyon uygulamasına konu olan mal veya hizmetin teslim ve ifası, </w:t>
      </w:r>
      <w:proofErr w:type="gramStart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promosyon</w:t>
      </w:r>
      <w:proofErr w:type="gramEnd"/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uygulamasının bitiminden itibaren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kırk beş gün içinde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ilgili süreli yayın kuruluşu tarafından yerine getirilmelidir. Malın teslimi veya hizmetin ifası ile ilgili olarak tüketiciden </w:t>
      </w:r>
      <w:r w:rsidRPr="00D311E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herhangi bir bedel</w:t>
      </w:r>
      <w:r w:rsidRPr="00D311E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talep edilemez.</w:t>
      </w:r>
    </w:p>
    <w:p w:rsidR="00855E97" w:rsidRPr="00D311E8" w:rsidRDefault="00855E97" w:rsidP="00D311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E97" w:rsidRPr="00D311E8" w:rsidSect="0085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60E"/>
    <w:multiLevelType w:val="multilevel"/>
    <w:tmpl w:val="19E4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B7A38"/>
    <w:multiLevelType w:val="multilevel"/>
    <w:tmpl w:val="FC6E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91DFE"/>
    <w:rsid w:val="003453E4"/>
    <w:rsid w:val="00855E97"/>
    <w:rsid w:val="00D311E8"/>
    <w:rsid w:val="00E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97"/>
  </w:style>
  <w:style w:type="paragraph" w:styleId="Balk2">
    <w:name w:val="heading 2"/>
    <w:basedOn w:val="Normal"/>
    <w:link w:val="Balk2Char"/>
    <w:uiPriority w:val="9"/>
    <w:qFormat/>
    <w:rsid w:val="00E91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1DF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91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2024-03-15T09:52:00Z</dcterms:created>
  <dcterms:modified xsi:type="dcterms:W3CDTF">2024-03-19T08:35:00Z</dcterms:modified>
</cp:coreProperties>
</file>