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5E4" w:rsidRPr="00ED25E4" w:rsidRDefault="00ED25E4" w:rsidP="00ED25E4">
      <w:pPr>
        <w:shd w:val="clear" w:color="auto" w:fill="0033A1"/>
        <w:spacing w:after="100" w:afterAutospacing="1" w:line="240" w:lineRule="auto"/>
        <w:jc w:val="both"/>
        <w:outlineLvl w:val="0"/>
        <w:rPr>
          <w:rFonts w:ascii="Times New Roman" w:eastAsia="Times New Roman" w:hAnsi="Times New Roman" w:cs="Times New Roman"/>
          <w:color w:val="FFFFFF"/>
          <w:spacing w:val="15"/>
          <w:kern w:val="36"/>
          <w:sz w:val="28"/>
          <w:szCs w:val="28"/>
          <w:lang w:eastAsia="tr-TR"/>
        </w:rPr>
      </w:pPr>
      <w:r w:rsidRPr="00ED25E4">
        <w:rPr>
          <w:rFonts w:ascii="Times New Roman" w:eastAsia="Times New Roman" w:hAnsi="Times New Roman" w:cs="Times New Roman"/>
          <w:color w:val="FFFFFF"/>
          <w:spacing w:val="15"/>
          <w:kern w:val="36"/>
          <w:sz w:val="28"/>
          <w:szCs w:val="28"/>
          <w:lang w:eastAsia="tr-TR"/>
        </w:rPr>
        <w:t>Kamu alacakları için gecikme zammı yüzde 3,5, tecil faizi ise yıllık yüzde 36 oldu</w:t>
      </w:r>
    </w:p>
    <w:p w:rsidR="00ED25E4" w:rsidRPr="00ED25E4" w:rsidRDefault="00ED25E4" w:rsidP="00ED25E4">
      <w:pPr>
        <w:shd w:val="clear" w:color="auto" w:fill="0033A1"/>
        <w:spacing w:after="100" w:afterAutospacing="1" w:line="240" w:lineRule="auto"/>
        <w:jc w:val="both"/>
        <w:outlineLvl w:val="3"/>
        <w:rPr>
          <w:rFonts w:ascii="Times New Roman" w:eastAsia="Times New Roman" w:hAnsi="Times New Roman" w:cs="Times New Roman"/>
          <w:color w:val="FFFFFF"/>
          <w:sz w:val="28"/>
          <w:szCs w:val="28"/>
          <w:lang w:eastAsia="tr-TR"/>
        </w:rPr>
      </w:pPr>
      <w:r w:rsidRPr="00ED25E4">
        <w:rPr>
          <w:rFonts w:ascii="Times New Roman" w:eastAsia="Times New Roman" w:hAnsi="Times New Roman" w:cs="Times New Roman"/>
          <w:color w:val="FFFFFF"/>
          <w:sz w:val="28"/>
          <w:szCs w:val="28"/>
          <w:lang w:eastAsia="tr-TR"/>
        </w:rPr>
        <w:t>Kamu alacakları için uygulanan gecikme zammı oranı yüzde 3,5, tecil faiz oranı ise yıllık yüzde 36 olarak belirlendi.</w:t>
      </w:r>
    </w:p>
    <w:p w:rsidR="00ED25E4" w:rsidRDefault="00ED25E4" w:rsidP="00ED25E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
    <w:p w:rsidR="00ED25E4" w:rsidRPr="00ED25E4" w:rsidRDefault="00ED25E4" w:rsidP="00ED25E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D25E4">
        <w:rPr>
          <w:rFonts w:ascii="Times New Roman" w:eastAsia="Times New Roman" w:hAnsi="Times New Roman" w:cs="Times New Roman"/>
          <w:color w:val="212529"/>
          <w:sz w:val="28"/>
          <w:szCs w:val="28"/>
          <w:lang w:eastAsia="tr-TR"/>
        </w:rPr>
        <w:t>Amme Alacakları İçin Uygulanan Gecikme Zammı Oranının Yeniden Belirlenmesine İlişkin Cumhurbaşkanı Kararı, Resmi Gazete'de yayımlandı.</w:t>
      </w:r>
    </w:p>
    <w:p w:rsidR="00ED25E4" w:rsidRPr="00ED25E4" w:rsidRDefault="00ED25E4" w:rsidP="00ED25E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D25E4">
        <w:rPr>
          <w:rFonts w:ascii="Times New Roman" w:eastAsia="Times New Roman" w:hAnsi="Times New Roman" w:cs="Times New Roman"/>
          <w:color w:val="212529"/>
          <w:sz w:val="28"/>
          <w:szCs w:val="28"/>
          <w:lang w:eastAsia="tr-TR"/>
        </w:rPr>
        <w:t xml:space="preserve">Karara göre, 6183 sayılı Amme Alacaklarının Tahsil Usulü Hakkında Kanun'da yer alan gecikme zammı oranı, her ay için ayrı </w:t>
      </w:r>
      <w:proofErr w:type="spellStart"/>
      <w:r w:rsidRPr="00ED25E4">
        <w:rPr>
          <w:rFonts w:ascii="Times New Roman" w:eastAsia="Times New Roman" w:hAnsi="Times New Roman" w:cs="Times New Roman"/>
          <w:color w:val="212529"/>
          <w:sz w:val="28"/>
          <w:szCs w:val="28"/>
          <w:lang w:eastAsia="tr-TR"/>
        </w:rPr>
        <w:t>ayrı</w:t>
      </w:r>
      <w:proofErr w:type="spellEnd"/>
      <w:r w:rsidRPr="00ED25E4">
        <w:rPr>
          <w:rFonts w:ascii="Times New Roman" w:eastAsia="Times New Roman" w:hAnsi="Times New Roman" w:cs="Times New Roman"/>
          <w:color w:val="212529"/>
          <w:sz w:val="28"/>
          <w:szCs w:val="28"/>
          <w:lang w:eastAsia="tr-TR"/>
        </w:rPr>
        <w:t xml:space="preserve"> uygulanmak üzere yüzde 3,5 oldu.</w:t>
      </w:r>
    </w:p>
    <w:p w:rsidR="00ED25E4" w:rsidRPr="00ED25E4" w:rsidRDefault="00ED25E4" w:rsidP="00ED25E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D25E4">
        <w:rPr>
          <w:rFonts w:ascii="Times New Roman" w:eastAsia="Times New Roman" w:hAnsi="Times New Roman" w:cs="Times New Roman"/>
          <w:color w:val="212529"/>
          <w:sz w:val="28"/>
          <w:szCs w:val="28"/>
          <w:lang w:eastAsia="tr-TR"/>
        </w:rPr>
        <w:t xml:space="preserve">Öte yandan Hazine ve Maliye Bakanlığı Gelir İdaresi Başkanlığının </w:t>
      </w:r>
      <w:proofErr w:type="gramStart"/>
      <w:r w:rsidRPr="00ED25E4">
        <w:rPr>
          <w:rFonts w:ascii="Times New Roman" w:eastAsia="Times New Roman" w:hAnsi="Times New Roman" w:cs="Times New Roman"/>
          <w:color w:val="212529"/>
          <w:sz w:val="28"/>
          <w:szCs w:val="28"/>
          <w:lang w:eastAsia="tr-TR"/>
        </w:rPr>
        <w:t>Tahsilat</w:t>
      </w:r>
      <w:proofErr w:type="gramEnd"/>
      <w:r w:rsidRPr="00ED25E4">
        <w:rPr>
          <w:rFonts w:ascii="Times New Roman" w:eastAsia="Times New Roman" w:hAnsi="Times New Roman" w:cs="Times New Roman"/>
          <w:color w:val="212529"/>
          <w:sz w:val="28"/>
          <w:szCs w:val="28"/>
          <w:lang w:eastAsia="tr-TR"/>
        </w:rPr>
        <w:t xml:space="preserve"> Genel Tebliği de Resmi Gazete'de yayımlanarak yürürlüğe girdi.</w:t>
      </w:r>
    </w:p>
    <w:p w:rsidR="00ED25E4" w:rsidRPr="00ED25E4" w:rsidRDefault="00ED25E4" w:rsidP="00ED25E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D25E4">
        <w:rPr>
          <w:rFonts w:ascii="Times New Roman" w:eastAsia="Times New Roman" w:hAnsi="Times New Roman" w:cs="Times New Roman"/>
          <w:color w:val="212529"/>
          <w:sz w:val="28"/>
          <w:szCs w:val="28"/>
          <w:lang w:eastAsia="tr-TR"/>
        </w:rPr>
        <w:t>Buna göre, amme alacaklarında yıllık yüzde 24 olarak uygulanan tecil faizi oranı bugünden itibaren yüzde 36 olarak belirlendi.</w:t>
      </w:r>
    </w:p>
    <w:p w:rsidR="00ED25E4" w:rsidRPr="00ED25E4" w:rsidRDefault="00ED25E4" w:rsidP="00ED25E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D25E4">
        <w:rPr>
          <w:rFonts w:ascii="Times New Roman" w:eastAsia="Times New Roman" w:hAnsi="Times New Roman" w:cs="Times New Roman"/>
          <w:color w:val="212529"/>
          <w:sz w:val="28"/>
          <w:szCs w:val="28"/>
          <w:lang w:eastAsia="tr-TR"/>
        </w:rPr>
        <w:t>Bugünden itibaren yapılacak müracaatlara dayanılarak tecil edilen amme alacaklarına yıllık yüzde 36 tecil faizi uygulanacak.</w:t>
      </w:r>
    </w:p>
    <w:p w:rsidR="00ED25E4" w:rsidRPr="00ED25E4" w:rsidRDefault="00ED25E4" w:rsidP="00ED25E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D25E4">
        <w:rPr>
          <w:rFonts w:ascii="Times New Roman" w:eastAsia="Times New Roman" w:hAnsi="Times New Roman" w:cs="Times New Roman"/>
          <w:color w:val="212529"/>
          <w:sz w:val="28"/>
          <w:szCs w:val="28"/>
          <w:lang w:eastAsia="tr-TR"/>
        </w:rPr>
        <w:t>Tebliğin yayımı tarihinden önce yapılan müracaatlara dayanılarak tecil edilecek olan amme alacakları ile tebliğin yayımı tarihinden önce tecil edilmiş ve tecil şartlarına uygun olarak ödenen amme alacaklarına tecil şartlarına uygun olarak ödendikleri sürece müracaat tarihlerinden itibaren eski tecil faizi oranının uygulanması gerekecek.</w:t>
      </w:r>
    </w:p>
    <w:p w:rsidR="00ED25E4" w:rsidRPr="00ED25E4" w:rsidRDefault="00ED25E4" w:rsidP="00ED25E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ED25E4">
        <w:rPr>
          <w:rFonts w:ascii="Times New Roman" w:eastAsia="Times New Roman" w:hAnsi="Times New Roman" w:cs="Times New Roman"/>
          <w:color w:val="212529"/>
          <w:sz w:val="28"/>
          <w:szCs w:val="28"/>
          <w:lang w:eastAsia="tr-TR"/>
        </w:rPr>
        <w:t>Bugünden önce tecil talebinde bulunulmuş ve talep kabul edilerek tecil edilmiş amme alacaklarına yönelik tecilin ihlal edilmiş olması ancak yeni talepler üzerine yeniden tecil yapılması halinde, bugüne kadar eski tecil faizi oranı, bugünden sonra ödenmesi gereken taksit tutarlarına ise yüzde 36 tecil faizi geçerli olacak.</w:t>
      </w:r>
    </w:p>
    <w:p w:rsidR="00ED25E4" w:rsidRPr="00ED25E4" w:rsidRDefault="00ED25E4" w:rsidP="00ED25E4">
      <w:pPr>
        <w:pStyle w:val="Balk2"/>
        <w:shd w:val="clear" w:color="auto" w:fill="FFFFFF"/>
        <w:spacing w:before="0" w:line="312" w:lineRule="atLeast"/>
        <w:textAlignment w:val="baseline"/>
        <w:rPr>
          <w:rFonts w:ascii="Georgia" w:hAnsi="Georgia" w:cs="Arial"/>
          <w:bCs w:val="0"/>
          <w:color w:val="FF0000"/>
        </w:rPr>
      </w:pPr>
      <w:r w:rsidRPr="00ED25E4">
        <w:rPr>
          <w:rFonts w:ascii="Georgia" w:hAnsi="Georgia" w:cs="Arial"/>
          <w:bCs w:val="0"/>
          <w:color w:val="FF0000"/>
          <w:bdr w:val="none" w:sz="0" w:space="0" w:color="auto" w:frame="1"/>
        </w:rPr>
        <w:t>1. Yeni Gecikme Zammı Oranı</w:t>
      </w:r>
    </w:p>
    <w:p w:rsidR="00ED25E4" w:rsidRDefault="00ED25E4" w:rsidP="00ED25E4">
      <w:pPr>
        <w:pStyle w:val="NormalWeb"/>
        <w:shd w:val="clear" w:color="auto" w:fill="FFFFFF"/>
        <w:spacing w:before="0" w:beforeAutospacing="0" w:after="0" w:afterAutospacing="0"/>
        <w:textAlignment w:val="baseline"/>
        <w:rPr>
          <w:rFonts w:ascii="Arial" w:hAnsi="Arial" w:cs="Arial"/>
          <w:color w:val="2D2D2D"/>
        </w:rPr>
      </w:pPr>
    </w:p>
    <w:p w:rsidR="00ED25E4" w:rsidRDefault="00ED25E4" w:rsidP="00ED25E4">
      <w:pPr>
        <w:pStyle w:val="NormalWeb"/>
        <w:shd w:val="clear" w:color="auto" w:fill="FFFFFF"/>
        <w:spacing w:before="0" w:beforeAutospacing="0" w:after="0" w:afterAutospacing="0"/>
        <w:jc w:val="both"/>
        <w:textAlignment w:val="baseline"/>
        <w:rPr>
          <w:rFonts w:ascii="Arial" w:hAnsi="Arial" w:cs="Arial"/>
          <w:color w:val="2D2D2D"/>
        </w:rPr>
      </w:pPr>
      <w:r>
        <w:rPr>
          <w:rFonts w:ascii="Arial" w:hAnsi="Arial" w:cs="Arial"/>
          <w:color w:val="2D2D2D"/>
        </w:rPr>
        <w:t>14.11.2023 tarihli Resmî Gazetede yayımlanan 13.11.2023 tarih ve 7782 sayılı Cumhurbaşkanı kararıyla, 6183 sayılı Kanun’un 51. maddesinde yer alan gecikme zammı oranı </w:t>
      </w:r>
      <w:r>
        <w:rPr>
          <w:rFonts w:ascii="Arial" w:hAnsi="Arial" w:cs="Arial"/>
          <w:color w:val="2D2D2D"/>
          <w:u w:val="single"/>
          <w:bdr w:val="none" w:sz="0" w:space="0" w:color="auto" w:frame="1"/>
        </w:rPr>
        <w:t xml:space="preserve">her ay için ayrı </w:t>
      </w:r>
      <w:proofErr w:type="spellStart"/>
      <w:r>
        <w:rPr>
          <w:rFonts w:ascii="Arial" w:hAnsi="Arial" w:cs="Arial"/>
          <w:color w:val="2D2D2D"/>
          <w:u w:val="single"/>
          <w:bdr w:val="none" w:sz="0" w:space="0" w:color="auto" w:frame="1"/>
        </w:rPr>
        <w:t>ayrı</w:t>
      </w:r>
      <w:proofErr w:type="spellEnd"/>
      <w:r>
        <w:rPr>
          <w:rFonts w:ascii="Arial" w:hAnsi="Arial" w:cs="Arial"/>
          <w:color w:val="2D2D2D"/>
          <w:u w:val="single"/>
          <w:bdr w:val="none" w:sz="0" w:space="0" w:color="auto" w:frame="1"/>
        </w:rPr>
        <w:t xml:space="preserve"> uygulanmak üzere %3,5</w:t>
      </w:r>
      <w:r>
        <w:rPr>
          <w:rFonts w:ascii="Arial" w:hAnsi="Arial" w:cs="Arial"/>
          <w:color w:val="2D2D2D"/>
        </w:rPr>
        <w:t> olarak yeniden belirlenmiştir. Böylece 21.07.2022 tarihinden beri yürürlükte olan aylık %2,5 gecikme zammı oranı, %3,5’e çıkmış olmaktadır.</w:t>
      </w:r>
    </w:p>
    <w:p w:rsidR="00ED25E4" w:rsidRDefault="00ED25E4" w:rsidP="00ED25E4">
      <w:pPr>
        <w:pStyle w:val="NormalWeb"/>
        <w:shd w:val="clear" w:color="auto" w:fill="FFFFFF"/>
        <w:spacing w:before="0" w:beforeAutospacing="0" w:after="525" w:afterAutospacing="0"/>
        <w:jc w:val="both"/>
        <w:textAlignment w:val="baseline"/>
        <w:rPr>
          <w:rFonts w:ascii="Arial" w:hAnsi="Arial" w:cs="Arial"/>
          <w:color w:val="2D2D2D"/>
        </w:rPr>
      </w:pPr>
      <w:r>
        <w:rPr>
          <w:rFonts w:ascii="Arial" w:hAnsi="Arial" w:cs="Arial"/>
          <w:color w:val="2D2D2D"/>
        </w:rPr>
        <w:t>Karar 14.11.2023 tarihinde yürürlüğe girmiştir.</w:t>
      </w:r>
    </w:p>
    <w:p w:rsidR="00ED25E4" w:rsidRDefault="00ED25E4" w:rsidP="00ED25E4">
      <w:pPr>
        <w:pStyle w:val="NormalWeb"/>
        <w:shd w:val="clear" w:color="auto" w:fill="FFFFFF"/>
        <w:spacing w:before="0" w:beforeAutospacing="0" w:after="525" w:afterAutospacing="0"/>
        <w:jc w:val="both"/>
        <w:textAlignment w:val="baseline"/>
        <w:rPr>
          <w:rFonts w:ascii="Arial" w:hAnsi="Arial" w:cs="Arial"/>
          <w:color w:val="2D2D2D"/>
        </w:rPr>
      </w:pPr>
      <w:r>
        <w:rPr>
          <w:rFonts w:ascii="Arial" w:hAnsi="Arial" w:cs="Arial"/>
          <w:color w:val="2D2D2D"/>
        </w:rPr>
        <w:lastRenderedPageBreak/>
        <w:t>Gecikme zammı uygulamasıyla ilgili ayrıntılı açıklama yapılması gerekli görülmemekle birlikte, aşağıdaki özet bilgilerin hatırlatılmasında yarar görülmüştür:</w:t>
      </w:r>
    </w:p>
    <w:p w:rsidR="00ED25E4" w:rsidRDefault="00ED25E4" w:rsidP="00ED25E4">
      <w:pPr>
        <w:numPr>
          <w:ilvl w:val="0"/>
          <w:numId w:val="1"/>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Ay kesirlerine isabet eden gecikme zammı günlük olarak hesaplanır. Hesaplamada 1 ay 30 gün olarak dikkate alınır ve günlük gecikme zammı oranı, (aylık oran/30) formülüyle bulunur.</w:t>
      </w:r>
    </w:p>
    <w:p w:rsidR="00ED25E4" w:rsidRDefault="00ED25E4" w:rsidP="00ED25E4">
      <w:pPr>
        <w:numPr>
          <w:ilvl w:val="0"/>
          <w:numId w:val="1"/>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Tam aylar için gecikme zammı aşağıdaki formülle hesaplanır:</w:t>
      </w:r>
    </w:p>
    <w:tbl>
      <w:tblPr>
        <w:tblW w:w="5000" w:type="pct"/>
        <w:tblBorders>
          <w:top w:val="single" w:sz="6" w:space="0" w:color="404041"/>
          <w:left w:val="single" w:sz="6" w:space="0" w:color="404041"/>
          <w:bottom w:val="single" w:sz="6" w:space="0" w:color="404041"/>
          <w:right w:val="single" w:sz="6" w:space="0" w:color="404041"/>
        </w:tblBorders>
        <w:tblCellMar>
          <w:left w:w="0" w:type="dxa"/>
          <w:right w:w="0" w:type="dxa"/>
        </w:tblCellMar>
        <w:tblLook w:val="04A0"/>
      </w:tblPr>
      <w:tblGrid>
        <w:gridCol w:w="9372"/>
      </w:tblGrid>
      <w:tr w:rsidR="00ED25E4" w:rsidTr="00ED25E4">
        <w:tc>
          <w:tcPr>
            <w:tcW w:w="0" w:type="auto"/>
            <w:tcBorders>
              <w:top w:val="single" w:sz="6" w:space="0" w:color="404041"/>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Default="00ED25E4" w:rsidP="00ED25E4">
            <w:pPr>
              <w:jc w:val="both"/>
              <w:rPr>
                <w:rFonts w:ascii="Arial" w:hAnsi="Arial" w:cs="Arial"/>
                <w:color w:val="404041"/>
                <w:sz w:val="24"/>
                <w:szCs w:val="24"/>
              </w:rPr>
            </w:pPr>
            <w:r>
              <w:rPr>
                <w:rFonts w:ascii="Arial" w:hAnsi="Arial" w:cs="Arial"/>
                <w:color w:val="404041"/>
              </w:rPr>
              <w:t>Gecikme zammı tutarı = Aylık gecikme zammı oranı x ay sayısı x gecikme zammı uygulanacak tutar</w:t>
            </w:r>
          </w:p>
        </w:tc>
      </w:tr>
    </w:tbl>
    <w:p w:rsidR="00ED25E4" w:rsidRDefault="00ED25E4" w:rsidP="00ED25E4">
      <w:pPr>
        <w:numPr>
          <w:ilvl w:val="0"/>
          <w:numId w:val="2"/>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Ay kesirleri için gecikme zammı aşağıdaki formülle hesaplanır</w:t>
      </w:r>
    </w:p>
    <w:tbl>
      <w:tblPr>
        <w:tblW w:w="5000" w:type="pct"/>
        <w:tblBorders>
          <w:top w:val="single" w:sz="6" w:space="0" w:color="404041"/>
          <w:left w:val="single" w:sz="6" w:space="0" w:color="404041"/>
          <w:bottom w:val="single" w:sz="6" w:space="0" w:color="404041"/>
          <w:right w:val="single" w:sz="6" w:space="0" w:color="404041"/>
        </w:tblBorders>
        <w:tblCellMar>
          <w:left w:w="0" w:type="dxa"/>
          <w:right w:w="0" w:type="dxa"/>
        </w:tblCellMar>
        <w:tblLook w:val="04A0"/>
      </w:tblPr>
      <w:tblGrid>
        <w:gridCol w:w="9372"/>
      </w:tblGrid>
      <w:tr w:rsidR="00ED25E4" w:rsidTr="00ED25E4">
        <w:tc>
          <w:tcPr>
            <w:tcW w:w="0" w:type="auto"/>
            <w:tcBorders>
              <w:top w:val="single" w:sz="6" w:space="0" w:color="404041"/>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Default="00ED25E4" w:rsidP="00ED25E4">
            <w:pPr>
              <w:jc w:val="both"/>
              <w:rPr>
                <w:rFonts w:ascii="Arial" w:hAnsi="Arial" w:cs="Arial"/>
                <w:color w:val="404041"/>
                <w:sz w:val="24"/>
                <w:szCs w:val="24"/>
              </w:rPr>
            </w:pPr>
            <w:r>
              <w:rPr>
                <w:rFonts w:ascii="Arial" w:hAnsi="Arial" w:cs="Arial"/>
                <w:color w:val="404041"/>
              </w:rPr>
              <w:t>Gecikme zammı tutarı = Günlük gecikme zammı oranı x gün sayısı x gecikme zammı uygulanacak tutar</w:t>
            </w:r>
          </w:p>
        </w:tc>
      </w:tr>
    </w:tbl>
    <w:p w:rsidR="00ED25E4" w:rsidRDefault="00ED25E4" w:rsidP="00ED25E4">
      <w:pPr>
        <w:numPr>
          <w:ilvl w:val="0"/>
          <w:numId w:val="3"/>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Gecikme zammı oranının yeniden belirlendiği hallerde, zammın hesaplanmasında aşağıdaki şekilde işlem yapılır:</w:t>
      </w:r>
    </w:p>
    <w:p w:rsidR="00ED25E4" w:rsidRDefault="00ED25E4" w:rsidP="00ED25E4">
      <w:pPr>
        <w:numPr>
          <w:ilvl w:val="1"/>
          <w:numId w:val="3"/>
        </w:numPr>
        <w:shd w:val="clear" w:color="auto" w:fill="FFFFFF"/>
        <w:spacing w:after="165" w:line="240" w:lineRule="auto"/>
        <w:ind w:left="0"/>
        <w:jc w:val="both"/>
        <w:textAlignment w:val="baseline"/>
        <w:rPr>
          <w:rFonts w:ascii="Arial" w:hAnsi="Arial" w:cs="Arial"/>
          <w:color w:val="2D2D2D"/>
        </w:rPr>
      </w:pPr>
      <w:r>
        <w:rPr>
          <w:rFonts w:ascii="Arial" w:hAnsi="Arial" w:cs="Arial"/>
          <w:color w:val="2D2D2D"/>
        </w:rPr>
        <w:t>Aylık esasa göre gecikme zammının hesaplandığı bir aylık süre içindeki bir tarihte oran değişikliği yapılırsa, bu bir aylık sürenin tamamına eski oran uygulanır.</w:t>
      </w:r>
    </w:p>
    <w:p w:rsidR="00ED25E4" w:rsidRDefault="00ED25E4" w:rsidP="00ED25E4">
      <w:pPr>
        <w:numPr>
          <w:ilvl w:val="1"/>
          <w:numId w:val="3"/>
        </w:numPr>
        <w:shd w:val="clear" w:color="auto" w:fill="FFFFFF"/>
        <w:spacing w:after="165" w:line="240" w:lineRule="auto"/>
        <w:ind w:left="0"/>
        <w:jc w:val="both"/>
        <w:textAlignment w:val="baseline"/>
        <w:rPr>
          <w:rFonts w:ascii="Arial" w:hAnsi="Arial" w:cs="Arial"/>
          <w:color w:val="2D2D2D"/>
        </w:rPr>
      </w:pPr>
      <w:r>
        <w:rPr>
          <w:rFonts w:ascii="Arial" w:hAnsi="Arial" w:cs="Arial"/>
          <w:color w:val="2D2D2D"/>
        </w:rPr>
        <w:t xml:space="preserve">Ay kesirleri için zammın hesaplanması günlük esasa göre yapılırsa, Cumhurbaşkanlığı kararının yürürlüğe girdiği gün </w:t>
      </w:r>
      <w:proofErr w:type="gramStart"/>
      <w:r>
        <w:rPr>
          <w:rFonts w:ascii="Arial" w:hAnsi="Arial" w:cs="Arial"/>
          <w:color w:val="2D2D2D"/>
        </w:rPr>
        <w:t>dahil</w:t>
      </w:r>
      <w:proofErr w:type="gramEnd"/>
      <w:r>
        <w:rPr>
          <w:rFonts w:ascii="Arial" w:hAnsi="Arial" w:cs="Arial"/>
          <w:color w:val="2D2D2D"/>
        </w:rPr>
        <w:t xml:space="preserve"> olmak üzere daha sonraki günler için yeni oran, yürürlük tarihinden önceki günler için ise eski oran dikkate alınır.</w:t>
      </w:r>
    </w:p>
    <w:p w:rsidR="00ED25E4" w:rsidRPr="00ED25E4" w:rsidRDefault="00ED25E4" w:rsidP="00ED25E4">
      <w:pPr>
        <w:pStyle w:val="Balk2"/>
        <w:shd w:val="clear" w:color="auto" w:fill="FFFFFF"/>
        <w:spacing w:before="0" w:line="312" w:lineRule="atLeast"/>
        <w:jc w:val="both"/>
        <w:textAlignment w:val="baseline"/>
        <w:rPr>
          <w:rFonts w:ascii="Georgia" w:hAnsi="Georgia" w:cs="Arial"/>
          <w:bCs w:val="0"/>
          <w:color w:val="FF0000"/>
        </w:rPr>
      </w:pPr>
      <w:r w:rsidRPr="00ED25E4">
        <w:rPr>
          <w:rFonts w:ascii="Georgia" w:hAnsi="Georgia" w:cs="Arial"/>
          <w:bCs w:val="0"/>
          <w:color w:val="FF0000"/>
          <w:bdr w:val="none" w:sz="0" w:space="0" w:color="auto" w:frame="1"/>
        </w:rPr>
        <w:t>2. Yeni Gecikme Faizi Oranı</w:t>
      </w:r>
    </w:p>
    <w:p w:rsidR="00ED25E4" w:rsidRDefault="00ED25E4" w:rsidP="00ED25E4">
      <w:pPr>
        <w:pStyle w:val="NormalWeb"/>
        <w:shd w:val="clear" w:color="auto" w:fill="FFFFFF"/>
        <w:spacing w:before="0" w:beforeAutospacing="0" w:after="525" w:afterAutospacing="0"/>
        <w:jc w:val="both"/>
        <w:textAlignment w:val="baseline"/>
        <w:rPr>
          <w:rFonts w:ascii="Arial" w:hAnsi="Arial" w:cs="Arial"/>
          <w:color w:val="2D2D2D"/>
        </w:rPr>
      </w:pPr>
      <w:r>
        <w:rPr>
          <w:rFonts w:ascii="Arial" w:hAnsi="Arial" w:cs="Arial"/>
          <w:color w:val="2D2D2D"/>
        </w:rPr>
        <w:t>Vergi Usul Kanunu’nun 112. maddesinde yer alan düzenleme nedeniyle, gecikme faizi gecikme zammı oranında uygulandığından, 7782 sayılı Cumhurbaşkanı kararıyla yapılan değişiklik gecikme faizini de değiştirmiş olup, 14.11.2023 tarihinden itibaren uygulanacak gecikme faizi oranı %3,5 olmuştur.</w:t>
      </w:r>
    </w:p>
    <w:p w:rsidR="00ED25E4" w:rsidRDefault="00ED25E4" w:rsidP="00ED25E4">
      <w:pPr>
        <w:pStyle w:val="NormalWeb"/>
        <w:shd w:val="clear" w:color="auto" w:fill="FFFFFF"/>
        <w:spacing w:before="0" w:beforeAutospacing="0" w:after="525" w:afterAutospacing="0"/>
        <w:jc w:val="both"/>
        <w:textAlignment w:val="baseline"/>
        <w:rPr>
          <w:rFonts w:ascii="Arial" w:hAnsi="Arial" w:cs="Arial"/>
          <w:color w:val="2D2D2D"/>
        </w:rPr>
      </w:pPr>
      <w:r>
        <w:rPr>
          <w:rFonts w:ascii="Arial" w:hAnsi="Arial" w:cs="Arial"/>
          <w:color w:val="2D2D2D"/>
        </w:rPr>
        <w:t>Yasal düzenlemelere göre;</w:t>
      </w:r>
    </w:p>
    <w:p w:rsidR="00ED25E4" w:rsidRDefault="00ED25E4" w:rsidP="00ED25E4">
      <w:pPr>
        <w:numPr>
          <w:ilvl w:val="0"/>
          <w:numId w:val="4"/>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Gecikme faizinin hesabında ay kesirleri dikkate alınmamakta,</w:t>
      </w:r>
    </w:p>
    <w:p w:rsidR="00ED25E4" w:rsidRDefault="00ED25E4" w:rsidP="00ED25E4">
      <w:pPr>
        <w:numPr>
          <w:ilvl w:val="0"/>
          <w:numId w:val="4"/>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Gecikme faizi aşağıdaki formülle hesaplanmaktadır:</w:t>
      </w:r>
    </w:p>
    <w:tbl>
      <w:tblPr>
        <w:tblW w:w="5000" w:type="pct"/>
        <w:tblBorders>
          <w:top w:val="single" w:sz="6" w:space="0" w:color="404041"/>
          <w:left w:val="single" w:sz="6" w:space="0" w:color="404041"/>
          <w:bottom w:val="single" w:sz="6" w:space="0" w:color="404041"/>
          <w:right w:val="single" w:sz="6" w:space="0" w:color="404041"/>
        </w:tblBorders>
        <w:tblCellMar>
          <w:left w:w="0" w:type="dxa"/>
          <w:right w:w="0" w:type="dxa"/>
        </w:tblCellMar>
        <w:tblLook w:val="04A0"/>
      </w:tblPr>
      <w:tblGrid>
        <w:gridCol w:w="9372"/>
      </w:tblGrid>
      <w:tr w:rsidR="00ED25E4" w:rsidTr="00ED25E4">
        <w:tc>
          <w:tcPr>
            <w:tcW w:w="0" w:type="auto"/>
            <w:tcBorders>
              <w:top w:val="single" w:sz="6" w:space="0" w:color="404041"/>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Default="00ED25E4" w:rsidP="00ED25E4">
            <w:pPr>
              <w:jc w:val="both"/>
              <w:rPr>
                <w:rFonts w:ascii="Arial" w:hAnsi="Arial" w:cs="Arial"/>
                <w:color w:val="404041"/>
                <w:sz w:val="24"/>
                <w:szCs w:val="24"/>
              </w:rPr>
            </w:pPr>
            <w:r>
              <w:rPr>
                <w:rFonts w:ascii="Arial" w:hAnsi="Arial" w:cs="Arial"/>
                <w:color w:val="404041"/>
              </w:rPr>
              <w:t>Gecikme faizi tutarı = Gecikme zammı oranı x ay sayısı x gecikme faizi uygulanacak tuta</w:t>
            </w:r>
          </w:p>
        </w:tc>
      </w:tr>
    </w:tbl>
    <w:p w:rsidR="00ED25E4" w:rsidRPr="00ED25E4" w:rsidRDefault="00ED25E4" w:rsidP="00ED25E4">
      <w:pPr>
        <w:pStyle w:val="Balk2"/>
        <w:shd w:val="clear" w:color="auto" w:fill="FFFFFF"/>
        <w:spacing w:before="0" w:line="312" w:lineRule="atLeast"/>
        <w:jc w:val="both"/>
        <w:textAlignment w:val="baseline"/>
        <w:rPr>
          <w:rFonts w:ascii="Georgia" w:hAnsi="Georgia" w:cs="Arial"/>
          <w:bCs w:val="0"/>
          <w:color w:val="FF0000"/>
        </w:rPr>
      </w:pPr>
      <w:r w:rsidRPr="00ED25E4">
        <w:rPr>
          <w:rFonts w:ascii="Georgia" w:hAnsi="Georgia" w:cs="Arial"/>
          <w:bCs w:val="0"/>
          <w:color w:val="FF0000"/>
          <w:bdr w:val="none" w:sz="0" w:space="0" w:color="auto" w:frame="1"/>
        </w:rPr>
        <w:t>3. Yeni Pişmanlık Zammı Oranı</w:t>
      </w:r>
    </w:p>
    <w:p w:rsidR="00ED25E4" w:rsidRDefault="00ED25E4" w:rsidP="00ED25E4">
      <w:pPr>
        <w:pStyle w:val="NormalWeb"/>
        <w:shd w:val="clear" w:color="auto" w:fill="FFFFFF"/>
        <w:spacing w:before="0" w:beforeAutospacing="0" w:after="525" w:afterAutospacing="0"/>
        <w:jc w:val="both"/>
        <w:textAlignment w:val="baseline"/>
        <w:rPr>
          <w:rFonts w:ascii="Arial" w:hAnsi="Arial" w:cs="Arial"/>
          <w:color w:val="2D2D2D"/>
        </w:rPr>
      </w:pPr>
      <w:r>
        <w:rPr>
          <w:rFonts w:ascii="Arial" w:hAnsi="Arial" w:cs="Arial"/>
          <w:color w:val="2D2D2D"/>
        </w:rPr>
        <w:t>Vergi Usul Kanunu’nun 371. maddesinde yer alan düzenleme nedeniyle, pişmanlık zammı gecikme zammı oranında uygulandığından, 7782 sayılı Cumhurbaşkanı kararıyla yapılan değişiklik pişmanlık zammı oranını da değiştirmiş olup, 14.11.2023 tarihinden itibaren uygulanacak pişmanlık zammı oranı %3,5 olmuştur.</w:t>
      </w:r>
    </w:p>
    <w:p w:rsidR="00ED25E4" w:rsidRDefault="00ED25E4" w:rsidP="00ED25E4">
      <w:pPr>
        <w:pStyle w:val="NormalWeb"/>
        <w:shd w:val="clear" w:color="auto" w:fill="FFFFFF"/>
        <w:spacing w:before="0" w:beforeAutospacing="0" w:after="525" w:afterAutospacing="0"/>
        <w:jc w:val="both"/>
        <w:textAlignment w:val="baseline"/>
        <w:rPr>
          <w:rFonts w:ascii="Arial" w:hAnsi="Arial" w:cs="Arial"/>
          <w:color w:val="2D2D2D"/>
        </w:rPr>
      </w:pPr>
      <w:r>
        <w:rPr>
          <w:rFonts w:ascii="Arial" w:hAnsi="Arial" w:cs="Arial"/>
          <w:color w:val="2D2D2D"/>
        </w:rPr>
        <w:t>Yasal düzenlemelere göre;</w:t>
      </w:r>
    </w:p>
    <w:p w:rsidR="00ED25E4" w:rsidRDefault="00ED25E4" w:rsidP="00ED25E4">
      <w:pPr>
        <w:numPr>
          <w:ilvl w:val="0"/>
          <w:numId w:val="5"/>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Pişmanlık zammı hesabında ay kesirleri tam ay sayılmakta,</w:t>
      </w:r>
    </w:p>
    <w:p w:rsidR="00ED25E4" w:rsidRDefault="00ED25E4" w:rsidP="00ED25E4">
      <w:pPr>
        <w:numPr>
          <w:ilvl w:val="0"/>
          <w:numId w:val="5"/>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Pişmanlık zammı aşağıdaki formülle hesaplanmakta,</w:t>
      </w:r>
    </w:p>
    <w:tbl>
      <w:tblPr>
        <w:tblW w:w="5000" w:type="pct"/>
        <w:tblBorders>
          <w:top w:val="single" w:sz="6" w:space="0" w:color="404041"/>
          <w:left w:val="single" w:sz="6" w:space="0" w:color="404041"/>
          <w:bottom w:val="single" w:sz="6" w:space="0" w:color="404041"/>
          <w:right w:val="single" w:sz="6" w:space="0" w:color="404041"/>
        </w:tblBorders>
        <w:tblCellMar>
          <w:left w:w="0" w:type="dxa"/>
          <w:right w:w="0" w:type="dxa"/>
        </w:tblCellMar>
        <w:tblLook w:val="04A0"/>
      </w:tblPr>
      <w:tblGrid>
        <w:gridCol w:w="9372"/>
      </w:tblGrid>
      <w:tr w:rsidR="00ED25E4" w:rsidTr="00ED25E4">
        <w:tc>
          <w:tcPr>
            <w:tcW w:w="0" w:type="auto"/>
            <w:tcBorders>
              <w:top w:val="single" w:sz="6" w:space="0" w:color="404041"/>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Default="00ED25E4" w:rsidP="00ED25E4">
            <w:pPr>
              <w:jc w:val="both"/>
              <w:rPr>
                <w:rFonts w:ascii="Arial" w:hAnsi="Arial" w:cs="Arial"/>
                <w:color w:val="404041"/>
                <w:sz w:val="24"/>
                <w:szCs w:val="24"/>
              </w:rPr>
            </w:pPr>
            <w:r>
              <w:rPr>
                <w:rFonts w:ascii="Arial" w:hAnsi="Arial" w:cs="Arial"/>
                <w:color w:val="404041"/>
              </w:rPr>
              <w:t>Pişmanlık zammı tutarı = Ödeme süresi geçen vergi tutarı x gecikme zammı oranı x borcun normal vade tarihi ile ödendiği tarih arasında geçen ay sayısı.</w:t>
            </w:r>
          </w:p>
        </w:tc>
      </w:tr>
    </w:tbl>
    <w:p w:rsidR="00ED25E4" w:rsidRDefault="00ED25E4" w:rsidP="00ED25E4">
      <w:pPr>
        <w:numPr>
          <w:ilvl w:val="0"/>
          <w:numId w:val="6"/>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İdarece tarh edilen vergilerde ve tahakkuku tahsile bağlı vergilerde pişmanlık hükümleri uygulanmamakta,</w:t>
      </w:r>
    </w:p>
    <w:p w:rsidR="00ED25E4" w:rsidRDefault="00ED25E4" w:rsidP="00ED25E4">
      <w:pPr>
        <w:numPr>
          <w:ilvl w:val="0"/>
          <w:numId w:val="6"/>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Pişmanlıktan ancak talebin yazılı olması halinde yararlanılabilmekte,</w:t>
      </w:r>
    </w:p>
    <w:p w:rsidR="00ED25E4" w:rsidRDefault="00ED25E4" w:rsidP="00ED25E4">
      <w:pPr>
        <w:numPr>
          <w:ilvl w:val="0"/>
          <w:numId w:val="6"/>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Pişmanlık hükümlerinin uygulanması, usulsüzlük ve özel usulsüzlük cezalarının kesilmesini engellememektedir.</w:t>
      </w:r>
    </w:p>
    <w:p w:rsidR="00ED25E4" w:rsidRPr="00ED25E4" w:rsidRDefault="00ED25E4" w:rsidP="00ED25E4">
      <w:pPr>
        <w:pStyle w:val="Balk2"/>
        <w:shd w:val="clear" w:color="auto" w:fill="FFFFFF"/>
        <w:spacing w:before="0" w:line="312" w:lineRule="atLeast"/>
        <w:jc w:val="both"/>
        <w:textAlignment w:val="baseline"/>
        <w:rPr>
          <w:rFonts w:ascii="Georgia" w:hAnsi="Georgia" w:cs="Arial"/>
          <w:bCs w:val="0"/>
          <w:color w:val="FF0000"/>
        </w:rPr>
      </w:pPr>
      <w:r w:rsidRPr="00ED25E4">
        <w:rPr>
          <w:rFonts w:ascii="Georgia" w:hAnsi="Georgia" w:cs="Arial"/>
          <w:bCs w:val="0"/>
          <w:color w:val="FF0000"/>
          <w:bdr w:val="none" w:sz="0" w:space="0" w:color="auto" w:frame="1"/>
        </w:rPr>
        <w:t>4. Tecil Faizi Oranı</w:t>
      </w:r>
    </w:p>
    <w:p w:rsidR="00ED25E4" w:rsidRDefault="00ED25E4" w:rsidP="00ED25E4">
      <w:pPr>
        <w:pStyle w:val="NormalWeb"/>
        <w:shd w:val="clear" w:color="auto" w:fill="FFFFFF"/>
        <w:spacing w:before="0" w:beforeAutospacing="0" w:after="525" w:afterAutospacing="0"/>
        <w:jc w:val="both"/>
        <w:textAlignment w:val="baseline"/>
        <w:rPr>
          <w:rFonts w:ascii="Arial" w:hAnsi="Arial" w:cs="Arial"/>
          <w:color w:val="2D2D2D"/>
        </w:rPr>
      </w:pPr>
      <w:r>
        <w:rPr>
          <w:rFonts w:ascii="Arial" w:hAnsi="Arial" w:cs="Arial"/>
          <w:color w:val="2D2D2D"/>
        </w:rPr>
        <w:t>14.11.2023 tarihli Resmî Gazetede yayımlanan Seri: C, 7 sıra no.lu Tahsilât Genel Tebliğiyle, 6183 sayılı Kanun’un 48. maddesine göre tecil ve taksitlendirilen kamu alacaklarına uygulanan tecil faizi yıllık %36 olarak yeniden belirlenmiştir. Böylece 21.07.2022 tarihinden beri yürürlükte olan yıllık %24 tecil faizi oranı, yıllık %36’ya çıkartılmıştır.</w:t>
      </w:r>
    </w:p>
    <w:p w:rsidR="00ED25E4" w:rsidRDefault="00ED25E4" w:rsidP="00ED25E4">
      <w:pPr>
        <w:pStyle w:val="NormalWeb"/>
        <w:shd w:val="clear" w:color="auto" w:fill="FFFFFF"/>
        <w:spacing w:before="0" w:beforeAutospacing="0" w:after="525" w:afterAutospacing="0"/>
        <w:jc w:val="both"/>
        <w:textAlignment w:val="baseline"/>
        <w:rPr>
          <w:rFonts w:ascii="Arial" w:hAnsi="Arial" w:cs="Arial"/>
          <w:color w:val="2D2D2D"/>
        </w:rPr>
      </w:pPr>
      <w:r>
        <w:rPr>
          <w:rFonts w:ascii="Arial" w:hAnsi="Arial" w:cs="Arial"/>
          <w:color w:val="2D2D2D"/>
        </w:rPr>
        <w:t>Tebliğle belirlenen yeni tecil faizi oranı, Tebliğin yayımı tarihi olan 14.11.2023 tarihinde yürürlüğe girmiştir. Buna göre;</w:t>
      </w:r>
    </w:p>
    <w:p w:rsidR="00ED25E4" w:rsidRDefault="00ED25E4" w:rsidP="00ED25E4">
      <w:pPr>
        <w:numPr>
          <w:ilvl w:val="0"/>
          <w:numId w:val="7"/>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14.11.2023 tarihinden itibaren yapılacak başvurulara dayanılarak tecil edilen kamu alacaklarına yıllık %36,</w:t>
      </w:r>
    </w:p>
    <w:p w:rsidR="00ED25E4" w:rsidRDefault="00ED25E4" w:rsidP="00ED25E4">
      <w:pPr>
        <w:numPr>
          <w:ilvl w:val="0"/>
          <w:numId w:val="7"/>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Bu tarihten önce yapılan müracaatlara dayanılarak tecil edilecek olan amme alacakları ile bu tarihten önce tecil edilmiş ve tecil şartlarına uygun olarak ödenmekte olan amme alacaklarına, tecil şartlarına uygun olarak ödendikleri sürece müracaat tarihlerinden itibaren %24,</w:t>
      </w:r>
    </w:p>
    <w:p w:rsidR="00ED25E4" w:rsidRDefault="00ED25E4" w:rsidP="00ED25E4">
      <w:pPr>
        <w:numPr>
          <w:ilvl w:val="0"/>
          <w:numId w:val="7"/>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Tebliğin yayımı tarihinden önce tecil talebinde bulunulmuş ve talep kabul edilerek tecil edilmiş amme alacaklarına yönelik tecilin ihlal edilmiş olması ancak, yeni talepler üzerine yeniden tecil yapılması (tecilin geçerli sayılması) halinde, Tebliğin yayımlandığı tarihe kadar eski tecil faizi oranında (%24), bu tarihten sonra ödenmesi gereken taksit tutarlarına ise %36, </w:t>
      </w:r>
    </w:p>
    <w:p w:rsidR="00ED25E4" w:rsidRDefault="00ED25E4" w:rsidP="00ED25E4">
      <w:pPr>
        <w:pStyle w:val="NormalWeb"/>
        <w:shd w:val="clear" w:color="auto" w:fill="FFFFFF"/>
        <w:spacing w:before="0" w:beforeAutospacing="0" w:after="525" w:afterAutospacing="0"/>
        <w:jc w:val="both"/>
        <w:textAlignment w:val="baseline"/>
        <w:rPr>
          <w:rFonts w:ascii="Arial" w:hAnsi="Arial" w:cs="Arial"/>
          <w:color w:val="2D2D2D"/>
        </w:rPr>
      </w:pPr>
      <w:proofErr w:type="gramStart"/>
      <w:r>
        <w:rPr>
          <w:rFonts w:ascii="Arial" w:hAnsi="Arial" w:cs="Arial"/>
          <w:color w:val="2D2D2D"/>
        </w:rPr>
        <w:t>oranında</w:t>
      </w:r>
      <w:proofErr w:type="gramEnd"/>
      <w:r>
        <w:rPr>
          <w:rFonts w:ascii="Arial" w:hAnsi="Arial" w:cs="Arial"/>
          <w:color w:val="2D2D2D"/>
        </w:rPr>
        <w:t xml:space="preserve"> tecil faizi uygulanacaktır.</w:t>
      </w:r>
    </w:p>
    <w:p w:rsidR="00ED25E4" w:rsidRDefault="00ED25E4" w:rsidP="00ED25E4">
      <w:pPr>
        <w:pStyle w:val="NormalWeb"/>
        <w:shd w:val="clear" w:color="auto" w:fill="FFFFFF"/>
        <w:spacing w:before="0" w:beforeAutospacing="0" w:after="525" w:afterAutospacing="0"/>
        <w:jc w:val="both"/>
        <w:textAlignment w:val="baseline"/>
        <w:rPr>
          <w:rFonts w:ascii="Arial" w:hAnsi="Arial" w:cs="Arial"/>
          <w:color w:val="2D2D2D"/>
        </w:rPr>
      </w:pPr>
      <w:r>
        <w:rPr>
          <w:rFonts w:ascii="Arial" w:hAnsi="Arial" w:cs="Arial"/>
          <w:color w:val="2D2D2D"/>
        </w:rPr>
        <w:t>Tecil faizi uygulamasıyla ilgili ayrıntılı açıklama yapılması gerekli görülmemekle birlikte, aşağıdaki özet bilgilerin hatırlatılmasında yarar görülmüştür:</w:t>
      </w:r>
    </w:p>
    <w:p w:rsidR="00ED25E4" w:rsidRDefault="00ED25E4" w:rsidP="00ED25E4">
      <w:pPr>
        <w:numPr>
          <w:ilvl w:val="0"/>
          <w:numId w:val="8"/>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Tecil ancak borçlunun yazılı başvurusu üzerine yapılabilmektedir. Borçlarının tecil ve taksitlendirilmesini talep eden borçluların, "Tecil ve Taksitlendirme Talep Formu" ile müracaat etmeleri gerekmektedir.</w:t>
      </w:r>
    </w:p>
    <w:p w:rsidR="00ED25E4" w:rsidRDefault="00ED25E4" w:rsidP="00ED25E4">
      <w:pPr>
        <w:numPr>
          <w:ilvl w:val="0"/>
          <w:numId w:val="8"/>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Tecil, talep edilmesi halinde alacaklı kamu idaresi veya tahsil dairesi tarafından zorunlu olarak yerine getirilmesi gereken bir işlem değildir. Alacaklı idare, zamanında ödenmeyen kamu alacağı için icra takibine başlama veya icrayı devam ettirme halinde borçlunun çok zor durumda kalacağını öngörür ve takdir ederse, yasal düzenleme çerçevesinde alacağını tecil edebilir ve taksitlendirebilir.</w:t>
      </w:r>
    </w:p>
    <w:p w:rsidR="00ED25E4" w:rsidRDefault="00ED25E4" w:rsidP="00ED25E4">
      <w:pPr>
        <w:numPr>
          <w:ilvl w:val="0"/>
          <w:numId w:val="8"/>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Tecil ve taksitlendirme talebinde bulunan borçluların "çok zor durumda" olup olmadıklarının tespitinde, likidite oranı kullanılmakta ve bu oran sonucunda tespit edilen çok zor durum derecesine uygun olarak tecil süresi belirlenmektedir. Bilanço esasına göre defter tutan borçluların çok zor durum halinin tespitinde kullanılacak formül aşağıdaki gibidir:</w:t>
      </w:r>
    </w:p>
    <w:tbl>
      <w:tblPr>
        <w:tblW w:w="5000" w:type="pct"/>
        <w:tblBorders>
          <w:top w:val="single" w:sz="6" w:space="0" w:color="404041"/>
          <w:left w:val="single" w:sz="6" w:space="0" w:color="404041"/>
          <w:bottom w:val="single" w:sz="6" w:space="0" w:color="404041"/>
          <w:right w:val="single" w:sz="6" w:space="0" w:color="404041"/>
        </w:tblBorders>
        <w:tblCellMar>
          <w:left w:w="0" w:type="dxa"/>
          <w:right w:w="0" w:type="dxa"/>
        </w:tblCellMar>
        <w:tblLook w:val="04A0"/>
      </w:tblPr>
      <w:tblGrid>
        <w:gridCol w:w="9372"/>
      </w:tblGrid>
      <w:tr w:rsidR="00ED25E4" w:rsidTr="00ED25E4">
        <w:tc>
          <w:tcPr>
            <w:tcW w:w="0" w:type="auto"/>
            <w:tcBorders>
              <w:top w:val="single" w:sz="6" w:space="0" w:color="404041"/>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Default="00ED25E4" w:rsidP="00ED25E4">
            <w:pPr>
              <w:jc w:val="both"/>
              <w:rPr>
                <w:rFonts w:ascii="Arial" w:hAnsi="Arial" w:cs="Arial"/>
                <w:color w:val="404041"/>
                <w:sz w:val="24"/>
                <w:szCs w:val="24"/>
              </w:rPr>
            </w:pPr>
            <w:r>
              <w:rPr>
                <w:rFonts w:ascii="Arial" w:hAnsi="Arial" w:cs="Arial"/>
                <w:color w:val="404041"/>
              </w:rPr>
              <w:t>Likidite Oranı = (Dönen Varlıklar- Stoklar) / Kısa Vadeli Yabancı Kaynaklar</w:t>
            </w:r>
          </w:p>
        </w:tc>
      </w:tr>
    </w:tbl>
    <w:p w:rsidR="00ED25E4" w:rsidRDefault="00ED25E4" w:rsidP="00ED25E4">
      <w:pPr>
        <w:numPr>
          <w:ilvl w:val="0"/>
          <w:numId w:val="9"/>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Likidite oranının 1'den büyük olması durumunda borç tecil edilmemektedir.</w:t>
      </w:r>
    </w:p>
    <w:p w:rsidR="00ED25E4" w:rsidRDefault="00ED25E4" w:rsidP="00ED25E4">
      <w:pPr>
        <w:numPr>
          <w:ilvl w:val="0"/>
          <w:numId w:val="9"/>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Likidite oranının 1 veya 1'den küçük ve 0,5'den büyük olması durumunda 12 aya kadar tecil yapılabilmektedir.</w:t>
      </w:r>
    </w:p>
    <w:p w:rsidR="00ED25E4" w:rsidRDefault="00ED25E4" w:rsidP="00ED25E4">
      <w:pPr>
        <w:numPr>
          <w:ilvl w:val="0"/>
          <w:numId w:val="9"/>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Likidite oranının 0,5 veya 0,5'den küçük olması durumunda ise borçlar 24 aya kadar tecil edilebilmektedir.</w:t>
      </w:r>
    </w:p>
    <w:p w:rsidR="00ED25E4" w:rsidRDefault="00ED25E4" w:rsidP="00ED25E4">
      <w:pPr>
        <w:numPr>
          <w:ilvl w:val="0"/>
          <w:numId w:val="10"/>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Tecil kural olarak teminat gösterilmiş olmak şartıyla yapılabilmektedir. Ancak borçlunun alacaklı tahsil daireleri itibarıyla tecil edilen borçlarının toplamı 50.000 lirayı geçmemesi halinde teminat şartı aranmamaktadır. Bu tutarın üzerindeki borçların tecilinde, gösterilmesi zorunlu teminat tutarı 50.000 lirayı aşan kısmın yarısıdır.</w:t>
      </w:r>
    </w:p>
    <w:p w:rsidR="00ED25E4" w:rsidRDefault="00ED25E4" w:rsidP="00ED25E4">
      <w:pPr>
        <w:numPr>
          <w:ilvl w:val="0"/>
          <w:numId w:val="10"/>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Herhangi bir haciz uygulaması olmadan tecil edilen borçlar için alınan teminatlar; tecil şartlarına uygun olarak yapılan ödemeler sonucunda kalan tecilli borç tutarının, zorunlu teminat tutarının altına inmesi durumunda yapılan ödemeler nispetinde ve bölünebilir nitelikte olması şartıyla iade edilmektedir.</w:t>
      </w:r>
    </w:p>
    <w:p w:rsidR="00ED25E4" w:rsidRDefault="00ED25E4" w:rsidP="00ED25E4">
      <w:pPr>
        <w:numPr>
          <w:ilvl w:val="0"/>
          <w:numId w:val="10"/>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Tecil faizi oranı yıllık olarak belirlenmekte, basit faiz usulü kullanılarak başvuru tarihinden ödeme tarihine kadar geçen süre için ödenecek taksit tutarları üzerinden hesaplanmaktadır.</w:t>
      </w:r>
    </w:p>
    <w:p w:rsidR="00ED25E4" w:rsidRDefault="00ED25E4" w:rsidP="00ED25E4">
      <w:pPr>
        <w:numPr>
          <w:ilvl w:val="0"/>
          <w:numId w:val="10"/>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Tecil faizinin hesaplanmasında kullanılan basit faiz usulü formülü aşağıdaki gibidir:</w:t>
      </w:r>
    </w:p>
    <w:tbl>
      <w:tblPr>
        <w:tblW w:w="5000" w:type="pct"/>
        <w:tblBorders>
          <w:top w:val="single" w:sz="6" w:space="0" w:color="404041"/>
          <w:left w:val="single" w:sz="6" w:space="0" w:color="404041"/>
          <w:bottom w:val="single" w:sz="6" w:space="0" w:color="404041"/>
          <w:right w:val="single" w:sz="6" w:space="0" w:color="404041"/>
        </w:tblBorders>
        <w:tblCellMar>
          <w:left w:w="0" w:type="dxa"/>
          <w:right w:w="0" w:type="dxa"/>
        </w:tblCellMar>
        <w:tblLook w:val="04A0"/>
      </w:tblPr>
      <w:tblGrid>
        <w:gridCol w:w="9372"/>
      </w:tblGrid>
      <w:tr w:rsidR="00ED25E4" w:rsidTr="00ED25E4">
        <w:tc>
          <w:tcPr>
            <w:tcW w:w="0" w:type="auto"/>
            <w:tcBorders>
              <w:top w:val="single" w:sz="6" w:space="0" w:color="404041"/>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Default="00ED25E4" w:rsidP="00ED25E4">
            <w:pPr>
              <w:jc w:val="both"/>
              <w:rPr>
                <w:rFonts w:ascii="Arial" w:hAnsi="Arial" w:cs="Arial"/>
                <w:color w:val="404041"/>
                <w:sz w:val="24"/>
                <w:szCs w:val="24"/>
              </w:rPr>
            </w:pPr>
            <w:r>
              <w:rPr>
                <w:rFonts w:ascii="Arial" w:hAnsi="Arial" w:cs="Arial"/>
                <w:color w:val="404041"/>
              </w:rPr>
              <w:t>Tecil Faizi = (Taksit Tutarı x Yıllık Tecil Faizi Oranı x Gün Sayısı) / 36.000</w:t>
            </w:r>
          </w:p>
        </w:tc>
      </w:tr>
    </w:tbl>
    <w:p w:rsidR="00ED25E4" w:rsidRDefault="00ED25E4" w:rsidP="00ED25E4">
      <w:pPr>
        <w:numPr>
          <w:ilvl w:val="0"/>
          <w:numId w:val="11"/>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Tecil ve taksitlendirme talebinde bulunanların, tecil edilen borçlarını taksit ödeme sürelerinden önce ödemesi mümkündür. Bu durumda, erken ödenen tutara, tecil müracaat tarihinden ödemenin yapıldığı tarihe kadar geçen süre için tecil faizi hesaplanır.</w:t>
      </w:r>
    </w:p>
    <w:p w:rsidR="00ED25E4" w:rsidRDefault="00ED25E4" w:rsidP="00ED25E4">
      <w:pPr>
        <w:numPr>
          <w:ilvl w:val="0"/>
          <w:numId w:val="11"/>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Tecil ve taksitlendirilmiş borçlar çeşitli nedenlerde tecil şartlarına uygun olarak ödenemeyebilir. Bu durumda, tecil ihlal edilmiş sayılmaktadır. Tecil şartlarını ihlal edenlerin, tecilin geçerli sayılması için tecile yetkili makamlara yapacakları başvuru üzerine bu makamlarca gerekli değerlendirme yapıldıktan sonra tecilin geçerli sayılmasına karar verilebilir.</w:t>
      </w:r>
    </w:p>
    <w:p w:rsidR="00ED25E4" w:rsidRDefault="00ED25E4" w:rsidP="00ED25E4">
      <w:pPr>
        <w:numPr>
          <w:ilvl w:val="0"/>
          <w:numId w:val="11"/>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Tecil şartlarının ihlal edilmiş olması, gerekli şartların oluşmuş olması halinde daha önce tecil edilmiş olan alacağın yeniden tecil edilmesine engel değildir.</w:t>
      </w:r>
    </w:p>
    <w:p w:rsidR="00ED25E4" w:rsidRDefault="00ED25E4" w:rsidP="00ED25E4">
      <w:pPr>
        <w:numPr>
          <w:ilvl w:val="0"/>
          <w:numId w:val="11"/>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Tecil edilen borç tutarının % 10’u ödenmedikçe borçluya, ilgili tahsil dairesine borcu bulunmadığını gösteren yazı verilmemektedir.</w:t>
      </w:r>
    </w:p>
    <w:p w:rsidR="00ED25E4" w:rsidRDefault="00ED25E4" w:rsidP="00ED25E4">
      <w:pPr>
        <w:numPr>
          <w:ilvl w:val="0"/>
          <w:numId w:val="11"/>
        </w:numPr>
        <w:shd w:val="clear" w:color="auto" w:fill="FFFFFF"/>
        <w:spacing w:after="375" w:line="240" w:lineRule="auto"/>
        <w:ind w:left="0"/>
        <w:jc w:val="both"/>
        <w:textAlignment w:val="baseline"/>
        <w:rPr>
          <w:rFonts w:ascii="Arial" w:hAnsi="Arial" w:cs="Arial"/>
          <w:color w:val="2D2D2D"/>
        </w:rPr>
      </w:pPr>
      <w:r>
        <w:rPr>
          <w:rFonts w:ascii="Arial" w:hAnsi="Arial" w:cs="Arial"/>
          <w:color w:val="2D2D2D"/>
        </w:rPr>
        <w:t>Aşağıdaki vergiler tecil edilmemektedir:</w:t>
      </w:r>
    </w:p>
    <w:p w:rsidR="00ED25E4" w:rsidRDefault="00ED25E4" w:rsidP="00ED25E4">
      <w:pPr>
        <w:numPr>
          <w:ilvl w:val="1"/>
          <w:numId w:val="11"/>
        </w:numPr>
        <w:shd w:val="clear" w:color="auto" w:fill="FFFFFF"/>
        <w:spacing w:after="165" w:line="240" w:lineRule="auto"/>
        <w:ind w:left="0"/>
        <w:jc w:val="both"/>
        <w:textAlignment w:val="baseline"/>
        <w:rPr>
          <w:rFonts w:ascii="Arial" w:hAnsi="Arial" w:cs="Arial"/>
          <w:color w:val="2D2D2D"/>
        </w:rPr>
      </w:pPr>
      <w:r>
        <w:rPr>
          <w:rFonts w:ascii="Arial" w:hAnsi="Arial" w:cs="Arial"/>
          <w:color w:val="2D2D2D"/>
        </w:rPr>
        <w:t>Geçici Vergi</w:t>
      </w:r>
    </w:p>
    <w:p w:rsidR="00ED25E4" w:rsidRDefault="00ED25E4" w:rsidP="00ED25E4">
      <w:pPr>
        <w:numPr>
          <w:ilvl w:val="1"/>
          <w:numId w:val="11"/>
        </w:numPr>
        <w:shd w:val="clear" w:color="auto" w:fill="FFFFFF"/>
        <w:spacing w:after="165" w:line="240" w:lineRule="auto"/>
        <w:ind w:left="0"/>
        <w:jc w:val="both"/>
        <w:textAlignment w:val="baseline"/>
        <w:rPr>
          <w:rFonts w:ascii="Arial" w:hAnsi="Arial" w:cs="Arial"/>
          <w:color w:val="2D2D2D"/>
        </w:rPr>
      </w:pPr>
      <w:r>
        <w:rPr>
          <w:rFonts w:ascii="Arial" w:hAnsi="Arial" w:cs="Arial"/>
          <w:color w:val="2D2D2D"/>
        </w:rPr>
        <w:t>Özel Tüketim Vergisi</w:t>
      </w:r>
    </w:p>
    <w:p w:rsidR="00ED25E4" w:rsidRDefault="00ED25E4" w:rsidP="00ED25E4">
      <w:pPr>
        <w:numPr>
          <w:ilvl w:val="1"/>
          <w:numId w:val="11"/>
        </w:numPr>
        <w:shd w:val="clear" w:color="auto" w:fill="FFFFFF"/>
        <w:spacing w:after="165" w:line="240" w:lineRule="auto"/>
        <w:ind w:left="0"/>
        <w:jc w:val="both"/>
        <w:textAlignment w:val="baseline"/>
        <w:rPr>
          <w:rFonts w:ascii="Arial" w:hAnsi="Arial" w:cs="Arial"/>
          <w:color w:val="2D2D2D"/>
        </w:rPr>
      </w:pPr>
      <w:r>
        <w:rPr>
          <w:rFonts w:ascii="Arial" w:hAnsi="Arial" w:cs="Arial"/>
          <w:color w:val="2D2D2D"/>
        </w:rPr>
        <w:t>Banka ve Sigorta Muameleleri Vergisi</w:t>
      </w:r>
    </w:p>
    <w:p w:rsidR="00ED25E4" w:rsidRDefault="00ED25E4" w:rsidP="00ED25E4">
      <w:pPr>
        <w:numPr>
          <w:ilvl w:val="1"/>
          <w:numId w:val="11"/>
        </w:numPr>
        <w:shd w:val="clear" w:color="auto" w:fill="FFFFFF"/>
        <w:spacing w:after="165" w:line="240" w:lineRule="auto"/>
        <w:ind w:left="0"/>
        <w:jc w:val="both"/>
        <w:textAlignment w:val="baseline"/>
        <w:rPr>
          <w:rFonts w:ascii="Arial" w:hAnsi="Arial" w:cs="Arial"/>
          <w:color w:val="2D2D2D"/>
        </w:rPr>
      </w:pPr>
      <w:r>
        <w:rPr>
          <w:rFonts w:ascii="Arial" w:hAnsi="Arial" w:cs="Arial"/>
          <w:color w:val="2D2D2D"/>
        </w:rPr>
        <w:t>Özel İletişim Vergisi - Harçlar.</w:t>
      </w:r>
    </w:p>
    <w:p w:rsidR="00ED25E4" w:rsidRDefault="00ED25E4" w:rsidP="00ED25E4">
      <w:pPr>
        <w:pStyle w:val="NormalWeb"/>
        <w:shd w:val="clear" w:color="auto" w:fill="FFFFFF"/>
        <w:spacing w:before="0" w:beforeAutospacing="0" w:after="0" w:afterAutospacing="0"/>
        <w:jc w:val="both"/>
        <w:textAlignment w:val="baseline"/>
        <w:rPr>
          <w:rFonts w:ascii="Arial" w:hAnsi="Arial" w:cs="Arial"/>
          <w:color w:val="2D2D2D"/>
        </w:rPr>
      </w:pPr>
      <w:r>
        <w:rPr>
          <w:rFonts w:ascii="Arial" w:hAnsi="Arial" w:cs="Arial"/>
          <w:color w:val="2D2D2D"/>
        </w:rPr>
        <w:t xml:space="preserve">Katma değer vergisi borçları, 2016/2 sayılı </w:t>
      </w:r>
      <w:proofErr w:type="gramStart"/>
      <w:r>
        <w:rPr>
          <w:rFonts w:ascii="Arial" w:hAnsi="Arial" w:cs="Arial"/>
          <w:color w:val="2D2D2D"/>
        </w:rPr>
        <w:t>Tahsilat</w:t>
      </w:r>
      <w:proofErr w:type="gramEnd"/>
      <w:r>
        <w:rPr>
          <w:rFonts w:ascii="Arial" w:hAnsi="Arial" w:cs="Arial"/>
          <w:color w:val="2D2D2D"/>
        </w:rPr>
        <w:t xml:space="preserve"> İç Genelgesinde belirlenen koşullar ve sınırlar çerçevesinde tecil edilebilmektedir.</w:t>
      </w:r>
    </w:p>
    <w:p w:rsidR="00ED25E4" w:rsidRDefault="00ED25E4" w:rsidP="00ED25E4">
      <w:pPr>
        <w:pStyle w:val="Balk2"/>
        <w:shd w:val="clear" w:color="auto" w:fill="FFFFFF"/>
        <w:spacing w:before="0" w:line="312" w:lineRule="atLeast"/>
        <w:jc w:val="both"/>
        <w:textAlignment w:val="baseline"/>
        <w:rPr>
          <w:rFonts w:ascii="Georgia" w:hAnsi="Georgia" w:cs="Arial"/>
          <w:b w:val="0"/>
          <w:bCs w:val="0"/>
          <w:color w:val="2D2D2D"/>
        </w:rPr>
      </w:pPr>
      <w:r>
        <w:rPr>
          <w:rFonts w:ascii="Georgia" w:hAnsi="Georgia" w:cs="Arial"/>
          <w:b w:val="0"/>
          <w:bCs w:val="0"/>
          <w:color w:val="2D2D2D"/>
          <w:bdr w:val="none" w:sz="0" w:space="0" w:color="auto" w:frame="1"/>
        </w:rPr>
        <w:t>5. Dönemler İtibariyle Gecikme Zammı, Gecikme Faizi ve Pişmanlık Zammı Oranları</w:t>
      </w:r>
    </w:p>
    <w:tbl>
      <w:tblPr>
        <w:tblW w:w="5000" w:type="pct"/>
        <w:tblBorders>
          <w:top w:val="single" w:sz="6" w:space="0" w:color="404041"/>
          <w:left w:val="single" w:sz="6" w:space="0" w:color="404041"/>
          <w:bottom w:val="single" w:sz="6" w:space="0" w:color="404041"/>
          <w:right w:val="single" w:sz="6" w:space="0" w:color="404041"/>
        </w:tblBorders>
        <w:tblCellMar>
          <w:left w:w="0" w:type="dxa"/>
          <w:right w:w="0" w:type="dxa"/>
        </w:tblCellMar>
        <w:tblLook w:val="04A0"/>
      </w:tblPr>
      <w:tblGrid>
        <w:gridCol w:w="3187"/>
        <w:gridCol w:w="2374"/>
        <w:gridCol w:w="2062"/>
        <w:gridCol w:w="1749"/>
      </w:tblGrid>
      <w:tr w:rsidR="00ED25E4" w:rsidRPr="00ED25E4" w:rsidTr="00ED25E4">
        <w:tc>
          <w:tcPr>
            <w:tcW w:w="9000" w:type="dxa"/>
            <w:gridSpan w:val="4"/>
            <w:tcBorders>
              <w:top w:val="single" w:sz="6" w:space="0" w:color="404041"/>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Style w:val="Gl"/>
                <w:rFonts w:ascii="Arial" w:hAnsi="Arial" w:cs="Arial"/>
                <w:color w:val="404041"/>
                <w:sz w:val="20"/>
                <w:szCs w:val="20"/>
                <w:bdr w:val="none" w:sz="0" w:space="0" w:color="auto" w:frame="1"/>
              </w:rPr>
              <w:t>GECİKME ZAMMI, GECİKME FAİZİ VE PİŞMANLIK ZAMMI ORANLARI</w:t>
            </w:r>
          </w:p>
        </w:tc>
      </w:tr>
      <w:tr w:rsidR="00ED25E4" w:rsidRPr="00ED25E4" w:rsidTr="00ED25E4">
        <w:tc>
          <w:tcPr>
            <w:tcW w:w="3060" w:type="dxa"/>
            <w:vMerge w:val="restart"/>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Dönem</w:t>
            </w:r>
          </w:p>
        </w:tc>
        <w:tc>
          <w:tcPr>
            <w:tcW w:w="4245" w:type="dxa"/>
            <w:gridSpan w:val="2"/>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Style w:val="Gl"/>
                <w:rFonts w:ascii="Arial" w:hAnsi="Arial" w:cs="Arial"/>
                <w:color w:val="404041"/>
                <w:sz w:val="20"/>
                <w:szCs w:val="20"/>
                <w:bdr w:val="none" w:sz="0" w:space="0" w:color="auto" w:frame="1"/>
              </w:rPr>
              <w:t>BKK/Cumhurbaşkanlığı Kararı</w:t>
            </w:r>
          </w:p>
        </w:tc>
        <w:tc>
          <w:tcPr>
            <w:tcW w:w="1680" w:type="dxa"/>
            <w:vMerge w:val="restart"/>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Oran (%)</w:t>
            </w:r>
          </w:p>
        </w:tc>
      </w:tr>
      <w:tr w:rsidR="00ED25E4" w:rsidRPr="00ED25E4" w:rsidTr="00ED25E4">
        <w:tc>
          <w:tcPr>
            <w:tcW w:w="0" w:type="auto"/>
            <w:vMerge/>
            <w:tcBorders>
              <w:top w:val="outset" w:sz="2" w:space="0" w:color="auto"/>
              <w:left w:val="single" w:sz="6" w:space="0" w:color="404041"/>
              <w:bottom w:val="single" w:sz="6" w:space="0" w:color="404041"/>
              <w:right w:val="single" w:sz="6" w:space="0" w:color="404041"/>
            </w:tcBorders>
            <w:shd w:val="clear" w:color="auto" w:fill="auto"/>
            <w:vAlign w:val="center"/>
            <w:hideMark/>
          </w:tcPr>
          <w:p w:rsidR="00ED25E4" w:rsidRPr="00ED25E4" w:rsidRDefault="00ED25E4" w:rsidP="00ED25E4">
            <w:pPr>
              <w:jc w:val="both"/>
              <w:rPr>
                <w:rFonts w:ascii="Arial" w:hAnsi="Arial" w:cs="Arial"/>
                <w:color w:val="404041"/>
                <w:sz w:val="20"/>
                <w:szCs w:val="20"/>
              </w:rPr>
            </w:pPr>
          </w:p>
        </w:tc>
        <w:tc>
          <w:tcPr>
            <w:tcW w:w="22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Tarih</w:t>
            </w:r>
          </w:p>
        </w:tc>
        <w:tc>
          <w:tcPr>
            <w:tcW w:w="19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No</w:t>
            </w:r>
          </w:p>
        </w:tc>
        <w:tc>
          <w:tcPr>
            <w:tcW w:w="0" w:type="auto"/>
            <w:vMerge/>
            <w:tcBorders>
              <w:top w:val="outset" w:sz="2" w:space="0" w:color="auto"/>
              <w:left w:val="single" w:sz="6" w:space="0" w:color="404041"/>
              <w:bottom w:val="single" w:sz="6" w:space="0" w:color="404041"/>
              <w:right w:val="single" w:sz="6" w:space="0" w:color="404041"/>
            </w:tcBorders>
            <w:shd w:val="clear" w:color="auto" w:fill="auto"/>
            <w:vAlign w:val="bottom"/>
            <w:hideMark/>
          </w:tcPr>
          <w:p w:rsidR="00ED25E4" w:rsidRPr="00ED25E4" w:rsidRDefault="00ED25E4" w:rsidP="00ED25E4">
            <w:pPr>
              <w:jc w:val="both"/>
              <w:rPr>
                <w:rFonts w:ascii="Arial" w:hAnsi="Arial" w:cs="Arial"/>
                <w:color w:val="404041"/>
                <w:sz w:val="20"/>
                <w:szCs w:val="20"/>
              </w:rPr>
            </w:pP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12.11.2003 – 01.03.2005</w:t>
            </w:r>
          </w:p>
        </w:tc>
        <w:tc>
          <w:tcPr>
            <w:tcW w:w="22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03.11.2003</w:t>
            </w:r>
          </w:p>
        </w:tc>
        <w:tc>
          <w:tcPr>
            <w:tcW w:w="19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2003/6345</w:t>
            </w:r>
          </w:p>
        </w:tc>
        <w:tc>
          <w:tcPr>
            <w:tcW w:w="16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4</w:t>
            </w: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02.03.2005 – 20.04.2006</w:t>
            </w:r>
          </w:p>
        </w:tc>
        <w:tc>
          <w:tcPr>
            <w:tcW w:w="22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23.02.2005</w:t>
            </w:r>
          </w:p>
        </w:tc>
        <w:tc>
          <w:tcPr>
            <w:tcW w:w="19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2005/8551</w:t>
            </w:r>
          </w:p>
        </w:tc>
        <w:tc>
          <w:tcPr>
            <w:tcW w:w="16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3</w:t>
            </w: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21.04.2006 – 18.11.2009</w:t>
            </w:r>
          </w:p>
        </w:tc>
        <w:tc>
          <w:tcPr>
            <w:tcW w:w="22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03.04.2006</w:t>
            </w:r>
          </w:p>
        </w:tc>
        <w:tc>
          <w:tcPr>
            <w:tcW w:w="19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2006/10302</w:t>
            </w:r>
          </w:p>
        </w:tc>
        <w:tc>
          <w:tcPr>
            <w:tcW w:w="16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2,5</w:t>
            </w: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19.11.2009 – 18.10.2010</w:t>
            </w:r>
          </w:p>
        </w:tc>
        <w:tc>
          <w:tcPr>
            <w:tcW w:w="22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02.11.2009</w:t>
            </w:r>
          </w:p>
        </w:tc>
        <w:tc>
          <w:tcPr>
            <w:tcW w:w="19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2009/15565</w:t>
            </w:r>
          </w:p>
        </w:tc>
        <w:tc>
          <w:tcPr>
            <w:tcW w:w="16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1,95</w:t>
            </w: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19.10.2010 – 04.09.2018</w:t>
            </w:r>
          </w:p>
        </w:tc>
        <w:tc>
          <w:tcPr>
            <w:tcW w:w="22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12.10.2010</w:t>
            </w:r>
          </w:p>
        </w:tc>
        <w:tc>
          <w:tcPr>
            <w:tcW w:w="19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2010/965</w:t>
            </w:r>
          </w:p>
        </w:tc>
        <w:tc>
          <w:tcPr>
            <w:tcW w:w="16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1,40</w:t>
            </w: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05.09.2018 – 30.06.2019</w:t>
            </w:r>
          </w:p>
        </w:tc>
        <w:tc>
          <w:tcPr>
            <w:tcW w:w="22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04.09.2018</w:t>
            </w:r>
          </w:p>
        </w:tc>
        <w:tc>
          <w:tcPr>
            <w:tcW w:w="19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62</w:t>
            </w:r>
          </w:p>
        </w:tc>
        <w:tc>
          <w:tcPr>
            <w:tcW w:w="16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w:t>
            </w: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01.07.2019 – 01.10.2019</w:t>
            </w:r>
          </w:p>
        </w:tc>
        <w:tc>
          <w:tcPr>
            <w:tcW w:w="22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29.06.2019</w:t>
            </w:r>
          </w:p>
        </w:tc>
        <w:tc>
          <w:tcPr>
            <w:tcW w:w="19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1266</w:t>
            </w:r>
          </w:p>
        </w:tc>
        <w:tc>
          <w:tcPr>
            <w:tcW w:w="16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2,5</w:t>
            </w: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02.10.2019 – 29.12.2019</w:t>
            </w:r>
          </w:p>
        </w:tc>
        <w:tc>
          <w:tcPr>
            <w:tcW w:w="22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01.10.2019</w:t>
            </w:r>
          </w:p>
        </w:tc>
        <w:tc>
          <w:tcPr>
            <w:tcW w:w="19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1592</w:t>
            </w:r>
          </w:p>
        </w:tc>
        <w:tc>
          <w:tcPr>
            <w:tcW w:w="16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w:t>
            </w: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30.12.2019 – 20.07.2022</w:t>
            </w:r>
          </w:p>
        </w:tc>
        <w:tc>
          <w:tcPr>
            <w:tcW w:w="22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30.12.2019</w:t>
            </w:r>
          </w:p>
        </w:tc>
        <w:tc>
          <w:tcPr>
            <w:tcW w:w="19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1947</w:t>
            </w:r>
          </w:p>
        </w:tc>
        <w:tc>
          <w:tcPr>
            <w:tcW w:w="16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1,6</w:t>
            </w: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21.07.2022 – 13.11.2023</w:t>
            </w:r>
          </w:p>
        </w:tc>
        <w:tc>
          <w:tcPr>
            <w:tcW w:w="22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20.07.2022</w:t>
            </w:r>
          </w:p>
        </w:tc>
        <w:tc>
          <w:tcPr>
            <w:tcW w:w="19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5801</w:t>
            </w:r>
          </w:p>
        </w:tc>
        <w:tc>
          <w:tcPr>
            <w:tcW w:w="168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2,5</w:t>
            </w:r>
          </w:p>
        </w:tc>
      </w:tr>
      <w:tr w:rsidR="00ED25E4" w:rsidRPr="00ED25E4" w:rsidTr="00ED25E4">
        <w:tc>
          <w:tcPr>
            <w:tcW w:w="306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14.11.2023 –</w:t>
            </w:r>
          </w:p>
        </w:tc>
        <w:tc>
          <w:tcPr>
            <w:tcW w:w="22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13.11.2023</w:t>
            </w:r>
          </w:p>
        </w:tc>
        <w:tc>
          <w:tcPr>
            <w:tcW w:w="19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7782</w:t>
            </w:r>
          </w:p>
        </w:tc>
        <w:tc>
          <w:tcPr>
            <w:tcW w:w="168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3,5</w:t>
            </w:r>
          </w:p>
        </w:tc>
      </w:tr>
    </w:tbl>
    <w:p w:rsidR="00ED25E4" w:rsidRPr="00ED25E4" w:rsidRDefault="00ED25E4" w:rsidP="00ED25E4">
      <w:pPr>
        <w:pStyle w:val="Balk2"/>
        <w:shd w:val="clear" w:color="auto" w:fill="FFFFFF"/>
        <w:spacing w:before="0" w:line="312" w:lineRule="atLeast"/>
        <w:jc w:val="both"/>
        <w:textAlignment w:val="baseline"/>
        <w:rPr>
          <w:rFonts w:ascii="Georgia" w:hAnsi="Georgia" w:cs="Arial"/>
          <w:b w:val="0"/>
          <w:bCs w:val="0"/>
          <w:color w:val="2D2D2D"/>
          <w:sz w:val="20"/>
          <w:szCs w:val="20"/>
        </w:rPr>
      </w:pPr>
      <w:r w:rsidRPr="00ED25E4">
        <w:rPr>
          <w:rFonts w:ascii="Georgia" w:hAnsi="Georgia" w:cs="Arial"/>
          <w:b w:val="0"/>
          <w:bCs w:val="0"/>
          <w:color w:val="2D2D2D"/>
          <w:sz w:val="20"/>
          <w:szCs w:val="20"/>
          <w:bdr w:val="none" w:sz="0" w:space="0" w:color="auto" w:frame="1"/>
        </w:rPr>
        <w:t>6. Dönemler İtibariyle Tecil Faizi Oranları</w:t>
      </w:r>
    </w:p>
    <w:tbl>
      <w:tblPr>
        <w:tblW w:w="5000" w:type="pct"/>
        <w:tblBorders>
          <w:top w:val="single" w:sz="6" w:space="0" w:color="404041"/>
          <w:left w:val="single" w:sz="6" w:space="0" w:color="404041"/>
          <w:bottom w:val="single" w:sz="6" w:space="0" w:color="404041"/>
          <w:right w:val="single" w:sz="6" w:space="0" w:color="404041"/>
        </w:tblBorders>
        <w:tblCellMar>
          <w:left w:w="0" w:type="dxa"/>
          <w:right w:w="0" w:type="dxa"/>
        </w:tblCellMar>
        <w:tblLook w:val="04A0"/>
      </w:tblPr>
      <w:tblGrid>
        <w:gridCol w:w="2765"/>
        <w:gridCol w:w="2015"/>
        <w:gridCol w:w="4592"/>
      </w:tblGrid>
      <w:tr w:rsidR="00ED25E4" w:rsidRPr="00ED25E4" w:rsidTr="00ED25E4">
        <w:tc>
          <w:tcPr>
            <w:tcW w:w="9000" w:type="dxa"/>
            <w:gridSpan w:val="3"/>
            <w:tcBorders>
              <w:top w:val="single" w:sz="6" w:space="0" w:color="404041"/>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Style w:val="Gl"/>
                <w:rFonts w:ascii="Arial" w:hAnsi="Arial" w:cs="Arial"/>
                <w:color w:val="404041"/>
                <w:sz w:val="20"/>
                <w:szCs w:val="20"/>
                <w:bdr w:val="none" w:sz="0" w:space="0" w:color="auto" w:frame="1"/>
              </w:rPr>
              <w:t>TECİL FAİZİ ORANLARI</w:t>
            </w:r>
          </w:p>
        </w:tc>
      </w:tr>
      <w:tr w:rsidR="00ED25E4" w:rsidRPr="00ED25E4" w:rsidTr="00ED25E4">
        <w:tc>
          <w:tcPr>
            <w:tcW w:w="2655"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Style w:val="Gl"/>
                <w:rFonts w:ascii="Arial" w:hAnsi="Arial" w:cs="Arial"/>
                <w:color w:val="404041"/>
                <w:sz w:val="20"/>
                <w:szCs w:val="20"/>
                <w:bdr w:val="none" w:sz="0" w:space="0" w:color="auto" w:frame="1"/>
              </w:rPr>
              <w:t>Dönem</w:t>
            </w:r>
          </w:p>
        </w:tc>
        <w:tc>
          <w:tcPr>
            <w:tcW w:w="1935"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Style w:val="Gl"/>
                <w:rFonts w:ascii="Arial" w:hAnsi="Arial" w:cs="Arial"/>
                <w:color w:val="404041"/>
                <w:sz w:val="20"/>
                <w:szCs w:val="20"/>
                <w:bdr w:val="none" w:sz="0" w:space="0" w:color="auto" w:frame="1"/>
              </w:rPr>
              <w:t>Oran (Yıllık %)</w:t>
            </w:r>
          </w:p>
        </w:tc>
        <w:tc>
          <w:tcPr>
            <w:tcW w:w="441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Style w:val="Gl"/>
                <w:rFonts w:ascii="Arial" w:hAnsi="Arial" w:cs="Arial"/>
                <w:color w:val="404041"/>
                <w:sz w:val="20"/>
                <w:szCs w:val="20"/>
                <w:bdr w:val="none" w:sz="0" w:space="0" w:color="auto" w:frame="1"/>
              </w:rPr>
              <w:t>Yasal Düzenleme</w:t>
            </w:r>
          </w:p>
        </w:tc>
      </w:tr>
      <w:tr w:rsidR="00ED25E4" w:rsidRPr="00ED25E4" w:rsidTr="00ED25E4">
        <w:tc>
          <w:tcPr>
            <w:tcW w:w="2655"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04.03.2005 – 27.04.2006</w:t>
            </w:r>
          </w:p>
        </w:tc>
        <w:tc>
          <w:tcPr>
            <w:tcW w:w="1935"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30,00</w:t>
            </w:r>
          </w:p>
        </w:tc>
        <w:tc>
          <w:tcPr>
            <w:tcW w:w="441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434 seri </w:t>
            </w:r>
            <w:hyperlink r:id="rId5" w:history="1">
              <w:r w:rsidRPr="00ED25E4">
                <w:rPr>
                  <w:rStyle w:val="Kpr"/>
                  <w:rFonts w:ascii="Arial" w:hAnsi="Arial" w:cs="Arial"/>
                  <w:b/>
                  <w:bCs/>
                  <w:sz w:val="20"/>
                  <w:szCs w:val="20"/>
                  <w:bdr w:val="none" w:sz="0" w:space="0" w:color="auto" w:frame="1"/>
                </w:rPr>
                <w:t>no.lu</w:t>
              </w:r>
            </w:hyperlink>
            <w:r w:rsidRPr="00ED25E4">
              <w:rPr>
                <w:rFonts w:ascii="Arial" w:hAnsi="Arial" w:cs="Arial"/>
                <w:color w:val="404041"/>
                <w:sz w:val="20"/>
                <w:szCs w:val="20"/>
              </w:rPr>
              <w:t> Tahsilât Genel Tebliği</w:t>
            </w:r>
          </w:p>
        </w:tc>
      </w:tr>
      <w:tr w:rsidR="00ED25E4" w:rsidRPr="00ED25E4" w:rsidTr="00ED25E4">
        <w:tc>
          <w:tcPr>
            <w:tcW w:w="2655"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28.04.2006 – 20.11.2009</w:t>
            </w:r>
          </w:p>
        </w:tc>
        <w:tc>
          <w:tcPr>
            <w:tcW w:w="1935"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24,00</w:t>
            </w:r>
          </w:p>
        </w:tc>
        <w:tc>
          <w:tcPr>
            <w:tcW w:w="441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438 seri </w:t>
            </w:r>
            <w:hyperlink r:id="rId6" w:history="1">
              <w:r w:rsidRPr="00ED25E4">
                <w:rPr>
                  <w:rStyle w:val="Kpr"/>
                  <w:rFonts w:ascii="Arial" w:hAnsi="Arial" w:cs="Arial"/>
                  <w:b/>
                  <w:bCs/>
                  <w:sz w:val="20"/>
                  <w:szCs w:val="20"/>
                  <w:bdr w:val="none" w:sz="0" w:space="0" w:color="auto" w:frame="1"/>
                </w:rPr>
                <w:t>no.lu</w:t>
              </w:r>
            </w:hyperlink>
            <w:r w:rsidRPr="00ED25E4">
              <w:rPr>
                <w:rFonts w:ascii="Arial" w:hAnsi="Arial" w:cs="Arial"/>
                <w:color w:val="404041"/>
                <w:sz w:val="20"/>
                <w:szCs w:val="20"/>
              </w:rPr>
              <w:t> Tahsilât Genel Tebliği</w:t>
            </w:r>
          </w:p>
        </w:tc>
      </w:tr>
      <w:tr w:rsidR="00ED25E4" w:rsidRPr="00ED25E4" w:rsidTr="00ED25E4">
        <w:tc>
          <w:tcPr>
            <w:tcW w:w="2655"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21.11.2009 – 20.10.2010</w:t>
            </w:r>
          </w:p>
        </w:tc>
        <w:tc>
          <w:tcPr>
            <w:tcW w:w="1935"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19,00</w:t>
            </w:r>
          </w:p>
        </w:tc>
        <w:tc>
          <w:tcPr>
            <w:tcW w:w="441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Tahsilât Genel Tebliği Seri: C Sıra No: 1</w:t>
            </w:r>
          </w:p>
        </w:tc>
      </w:tr>
      <w:tr w:rsidR="00ED25E4" w:rsidRPr="00ED25E4" w:rsidTr="00ED25E4">
        <w:tc>
          <w:tcPr>
            <w:tcW w:w="2655"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21.10.2010 – 05.09.2018</w:t>
            </w:r>
          </w:p>
        </w:tc>
        <w:tc>
          <w:tcPr>
            <w:tcW w:w="1935"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12,00</w:t>
            </w:r>
          </w:p>
        </w:tc>
        <w:tc>
          <w:tcPr>
            <w:tcW w:w="441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Tahsilât Genel Tebliği Seri: C Sıra No: 2</w:t>
            </w:r>
          </w:p>
        </w:tc>
      </w:tr>
      <w:tr w:rsidR="00ED25E4" w:rsidRPr="00ED25E4" w:rsidTr="00ED25E4">
        <w:tc>
          <w:tcPr>
            <w:tcW w:w="2655"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06.09.2018 – 24.10.2019</w:t>
            </w:r>
          </w:p>
        </w:tc>
        <w:tc>
          <w:tcPr>
            <w:tcW w:w="1935"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22,00</w:t>
            </w:r>
          </w:p>
        </w:tc>
        <w:tc>
          <w:tcPr>
            <w:tcW w:w="441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Tahsilât Genel Tebliği Seri: C Sıra No: 3</w:t>
            </w:r>
          </w:p>
        </w:tc>
      </w:tr>
      <w:tr w:rsidR="00ED25E4" w:rsidRPr="00ED25E4" w:rsidTr="00ED25E4">
        <w:tc>
          <w:tcPr>
            <w:tcW w:w="2655"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24.10.2019 –29.12.2019</w:t>
            </w:r>
          </w:p>
        </w:tc>
        <w:tc>
          <w:tcPr>
            <w:tcW w:w="1935"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19,00</w:t>
            </w:r>
          </w:p>
        </w:tc>
        <w:tc>
          <w:tcPr>
            <w:tcW w:w="441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Tahsilât Genel Tebliği Seri: C Sıra No: 4</w:t>
            </w:r>
          </w:p>
        </w:tc>
      </w:tr>
      <w:tr w:rsidR="00ED25E4" w:rsidRPr="00ED25E4" w:rsidTr="00ED25E4">
        <w:tc>
          <w:tcPr>
            <w:tcW w:w="2655"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30.12.2019 – 20.07.2022</w:t>
            </w:r>
          </w:p>
        </w:tc>
        <w:tc>
          <w:tcPr>
            <w:tcW w:w="1935"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15,00</w:t>
            </w:r>
          </w:p>
        </w:tc>
        <w:tc>
          <w:tcPr>
            <w:tcW w:w="441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Tahsilât Genel Tebliği Seri: C Sıra No: 5</w:t>
            </w:r>
          </w:p>
        </w:tc>
      </w:tr>
      <w:tr w:rsidR="00ED25E4" w:rsidRPr="00ED25E4" w:rsidTr="00ED25E4">
        <w:tc>
          <w:tcPr>
            <w:tcW w:w="2655"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21.07.2022 – 13.11.2023</w:t>
            </w:r>
          </w:p>
        </w:tc>
        <w:tc>
          <w:tcPr>
            <w:tcW w:w="1935"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24,00</w:t>
            </w:r>
          </w:p>
        </w:tc>
        <w:tc>
          <w:tcPr>
            <w:tcW w:w="4410" w:type="dxa"/>
            <w:tcBorders>
              <w:top w:val="outset" w:sz="2" w:space="0" w:color="auto"/>
              <w:left w:val="single" w:sz="6" w:space="0" w:color="404041"/>
              <w:bottom w:val="single" w:sz="6" w:space="0" w:color="404041"/>
              <w:right w:val="single" w:sz="6" w:space="0" w:color="404041"/>
            </w:tcBorders>
            <w:shd w:val="clear" w:color="auto" w:fill="F2F2F2"/>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Tahsilât Genel Tebliği Seri: C Sıra No: 6</w:t>
            </w:r>
          </w:p>
        </w:tc>
      </w:tr>
      <w:tr w:rsidR="00ED25E4" w:rsidRPr="00ED25E4" w:rsidTr="00ED25E4">
        <w:tc>
          <w:tcPr>
            <w:tcW w:w="2655"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14.11.2023 –</w:t>
            </w:r>
          </w:p>
        </w:tc>
        <w:tc>
          <w:tcPr>
            <w:tcW w:w="1935"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36,00</w:t>
            </w:r>
          </w:p>
        </w:tc>
        <w:tc>
          <w:tcPr>
            <w:tcW w:w="4410" w:type="dxa"/>
            <w:tcBorders>
              <w:top w:val="outset" w:sz="2" w:space="0" w:color="auto"/>
              <w:left w:val="single" w:sz="6" w:space="0" w:color="404041"/>
              <w:bottom w:val="single" w:sz="6" w:space="0" w:color="404041"/>
              <w:right w:val="single" w:sz="6" w:space="0" w:color="404041"/>
            </w:tcBorders>
            <w:shd w:val="clear" w:color="auto" w:fill="auto"/>
            <w:tcMar>
              <w:top w:w="225" w:type="dxa"/>
              <w:left w:w="150" w:type="dxa"/>
              <w:bottom w:w="225" w:type="dxa"/>
              <w:right w:w="150" w:type="dxa"/>
            </w:tcMar>
            <w:hideMark/>
          </w:tcPr>
          <w:p w:rsidR="00ED25E4" w:rsidRPr="00ED25E4" w:rsidRDefault="00ED25E4" w:rsidP="00ED25E4">
            <w:pPr>
              <w:pStyle w:val="NormalWeb"/>
              <w:spacing w:before="0" w:beforeAutospacing="0" w:after="0" w:afterAutospacing="0"/>
              <w:jc w:val="both"/>
              <w:textAlignment w:val="baseline"/>
              <w:rPr>
                <w:rFonts w:ascii="Arial" w:hAnsi="Arial" w:cs="Arial"/>
                <w:color w:val="404041"/>
                <w:sz w:val="20"/>
                <w:szCs w:val="20"/>
              </w:rPr>
            </w:pPr>
            <w:r w:rsidRPr="00ED25E4">
              <w:rPr>
                <w:rFonts w:ascii="Arial" w:hAnsi="Arial" w:cs="Arial"/>
                <w:color w:val="404041"/>
                <w:sz w:val="20"/>
                <w:szCs w:val="20"/>
              </w:rPr>
              <w:t>Tahsilât Genel Tebliği Seri: C Sıra No: 7</w:t>
            </w:r>
          </w:p>
        </w:tc>
      </w:tr>
    </w:tbl>
    <w:p w:rsidR="00ED25E4" w:rsidRDefault="00ED25E4" w:rsidP="00ED25E4">
      <w:pPr>
        <w:pStyle w:val="NormalWeb"/>
        <w:shd w:val="clear" w:color="auto" w:fill="FFFFFF"/>
        <w:spacing w:before="0" w:beforeAutospacing="0" w:after="0" w:afterAutospacing="0"/>
        <w:jc w:val="both"/>
        <w:textAlignment w:val="baseline"/>
        <w:rPr>
          <w:rFonts w:ascii="Arial" w:hAnsi="Arial" w:cs="Arial"/>
          <w:color w:val="2D2D2D"/>
        </w:rPr>
      </w:pPr>
      <w:r>
        <w:rPr>
          <w:rStyle w:val="Gl"/>
          <w:rFonts w:ascii="Arial" w:hAnsi="Arial" w:cs="Arial"/>
          <w:color w:val="2D2D2D"/>
          <w:bdr w:val="none" w:sz="0" w:space="0" w:color="auto" w:frame="1"/>
        </w:rPr>
        <w:t>İlgili Karar ve Tebliğ metinlerine aşağıdaki bağlantılar yardımıyla ulaşabilirsiniz.</w:t>
      </w:r>
    </w:p>
    <w:p w:rsidR="00ED25E4" w:rsidRDefault="00ED25E4" w:rsidP="00ED25E4">
      <w:pPr>
        <w:numPr>
          <w:ilvl w:val="0"/>
          <w:numId w:val="12"/>
        </w:numPr>
        <w:shd w:val="clear" w:color="auto" w:fill="FFFFFF"/>
        <w:spacing w:after="0" w:line="240" w:lineRule="auto"/>
        <w:ind w:left="0"/>
        <w:jc w:val="both"/>
        <w:textAlignment w:val="baseline"/>
        <w:rPr>
          <w:rFonts w:ascii="Arial" w:hAnsi="Arial" w:cs="Arial"/>
          <w:color w:val="2D2D2D"/>
        </w:rPr>
      </w:pPr>
      <w:hyperlink r:id="rId7" w:tgtFrame="_blank" w:history="1">
        <w:r>
          <w:rPr>
            <w:rStyle w:val="Kpr"/>
            <w:rFonts w:ascii="Arial" w:hAnsi="Arial" w:cs="Arial"/>
            <w:b/>
            <w:bCs/>
            <w:bdr w:val="none" w:sz="0" w:space="0" w:color="auto" w:frame="1"/>
          </w:rPr>
          <w:t>Amme Alacakları İçin Uygulanan Gecikme Zammı Oranının Yeniden Belirlenmesine İlişkin Karar (Karar Sayısı: 7782)</w:t>
        </w:r>
      </w:hyperlink>
    </w:p>
    <w:p w:rsidR="00ED25E4" w:rsidRDefault="00ED25E4" w:rsidP="00ED25E4">
      <w:pPr>
        <w:numPr>
          <w:ilvl w:val="0"/>
          <w:numId w:val="12"/>
        </w:numPr>
        <w:shd w:val="clear" w:color="auto" w:fill="FFFFFF"/>
        <w:spacing w:after="0" w:line="240" w:lineRule="auto"/>
        <w:ind w:left="0"/>
        <w:jc w:val="both"/>
        <w:textAlignment w:val="baseline"/>
        <w:rPr>
          <w:rFonts w:ascii="Arial" w:hAnsi="Arial" w:cs="Arial"/>
          <w:color w:val="2D2D2D"/>
        </w:rPr>
      </w:pPr>
      <w:hyperlink r:id="rId8" w:tgtFrame="_blank" w:history="1">
        <w:proofErr w:type="gramStart"/>
        <w:r>
          <w:rPr>
            <w:rStyle w:val="Kpr"/>
            <w:rFonts w:ascii="Arial" w:hAnsi="Arial" w:cs="Arial"/>
            <w:b/>
            <w:bCs/>
            <w:bdr w:val="none" w:sz="0" w:space="0" w:color="auto" w:frame="1"/>
          </w:rPr>
          <w:t>Tahsilat</w:t>
        </w:r>
        <w:proofErr w:type="gramEnd"/>
        <w:r>
          <w:rPr>
            <w:rStyle w:val="Kpr"/>
            <w:rFonts w:ascii="Arial" w:hAnsi="Arial" w:cs="Arial"/>
            <w:b/>
            <w:bCs/>
            <w:bdr w:val="none" w:sz="0" w:space="0" w:color="auto" w:frame="1"/>
          </w:rPr>
          <w:t xml:space="preserve"> Genel Tebliği (Seri: C Sıra No: 7)</w:t>
        </w:r>
      </w:hyperlink>
    </w:p>
    <w:p w:rsidR="00ED25E4" w:rsidRPr="00ED25E4" w:rsidRDefault="00ED25E4" w:rsidP="00ED25E4">
      <w:pPr>
        <w:jc w:val="both"/>
        <w:rPr>
          <w:rFonts w:ascii="Times New Roman" w:hAnsi="Times New Roman" w:cs="Times New Roman"/>
          <w:sz w:val="28"/>
          <w:szCs w:val="28"/>
        </w:rPr>
      </w:pPr>
      <w:r w:rsidRPr="00ED25E4">
        <w:rPr>
          <w:rFonts w:ascii="Times New Roman" w:eastAsia="Times New Roman" w:hAnsi="Times New Roman" w:cs="Times New Roman"/>
          <w:color w:val="808080"/>
          <w:sz w:val="28"/>
          <w:szCs w:val="28"/>
          <w:shd w:val="clear" w:color="auto" w:fill="FFFFFF"/>
          <w:lang w:eastAsia="tr-TR"/>
        </w:rPr>
        <w:br/>
      </w:r>
    </w:p>
    <w:tbl>
      <w:tblPr>
        <w:tblW w:w="8789" w:type="dxa"/>
        <w:tblCellMar>
          <w:left w:w="0" w:type="dxa"/>
          <w:right w:w="0" w:type="dxa"/>
        </w:tblCellMar>
        <w:tblLook w:val="04A0"/>
      </w:tblPr>
      <w:tblGrid>
        <w:gridCol w:w="2931"/>
        <w:gridCol w:w="2931"/>
        <w:gridCol w:w="2927"/>
      </w:tblGrid>
      <w:tr w:rsidR="00ED25E4" w:rsidRPr="00ED25E4" w:rsidTr="00ED25E4">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D25E4" w:rsidRPr="00ED25E4" w:rsidRDefault="00ED25E4" w:rsidP="00ED25E4">
            <w:pPr>
              <w:spacing w:after="0" w:line="240" w:lineRule="atLeast"/>
              <w:jc w:val="both"/>
              <w:rPr>
                <w:rFonts w:ascii="Times New Roman" w:eastAsia="Times New Roman" w:hAnsi="Times New Roman" w:cs="Times New Roman"/>
                <w:sz w:val="24"/>
                <w:szCs w:val="24"/>
                <w:lang w:eastAsia="tr-TR"/>
              </w:rPr>
            </w:pPr>
            <w:r w:rsidRPr="00ED25E4">
              <w:rPr>
                <w:rFonts w:ascii="Arial" w:eastAsia="Times New Roman" w:hAnsi="Arial" w:cs="Arial"/>
                <w:sz w:val="16"/>
                <w:szCs w:val="16"/>
                <w:lang w:eastAsia="tr-TR"/>
              </w:rPr>
              <w:t>21 Temmuz 2022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D25E4" w:rsidRPr="00ED25E4" w:rsidRDefault="00ED25E4" w:rsidP="00ED25E4">
            <w:pPr>
              <w:spacing w:after="0" w:line="240" w:lineRule="atLeast"/>
              <w:jc w:val="both"/>
              <w:rPr>
                <w:rFonts w:ascii="Times New Roman" w:eastAsia="Times New Roman" w:hAnsi="Times New Roman" w:cs="Times New Roman"/>
                <w:sz w:val="24"/>
                <w:szCs w:val="24"/>
                <w:lang w:eastAsia="tr-TR"/>
              </w:rPr>
            </w:pPr>
            <w:r w:rsidRPr="00ED25E4">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D25E4" w:rsidRPr="00ED25E4" w:rsidRDefault="00ED25E4" w:rsidP="00ED25E4">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ED25E4">
              <w:rPr>
                <w:rFonts w:ascii="Arial" w:eastAsia="Times New Roman" w:hAnsi="Arial" w:cs="Arial"/>
                <w:sz w:val="16"/>
                <w:szCs w:val="16"/>
                <w:lang w:eastAsia="tr-TR"/>
              </w:rPr>
              <w:t>Sayı : 31899</w:t>
            </w:r>
            <w:proofErr w:type="gramEnd"/>
          </w:p>
        </w:tc>
      </w:tr>
      <w:tr w:rsidR="00ED25E4" w:rsidRPr="00ED25E4" w:rsidTr="00ED25E4">
        <w:trPr>
          <w:trHeight w:val="480"/>
        </w:trPr>
        <w:tc>
          <w:tcPr>
            <w:tcW w:w="8789" w:type="dxa"/>
            <w:gridSpan w:val="3"/>
            <w:tcMar>
              <w:top w:w="0" w:type="dxa"/>
              <w:left w:w="108" w:type="dxa"/>
              <w:bottom w:w="0" w:type="dxa"/>
              <w:right w:w="108" w:type="dxa"/>
            </w:tcMar>
            <w:vAlign w:val="center"/>
            <w:hideMark/>
          </w:tcPr>
          <w:p w:rsidR="00ED25E4" w:rsidRPr="00ED25E4" w:rsidRDefault="00ED25E4" w:rsidP="00ED25E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ED25E4">
              <w:rPr>
                <w:rFonts w:ascii="Arial" w:eastAsia="Times New Roman" w:hAnsi="Arial" w:cs="Arial"/>
                <w:b/>
                <w:bCs/>
                <w:color w:val="000080"/>
                <w:sz w:val="18"/>
                <w:szCs w:val="18"/>
                <w:lang w:eastAsia="tr-TR"/>
              </w:rPr>
              <w:t>TEBLİĞ</w:t>
            </w:r>
          </w:p>
        </w:tc>
      </w:tr>
      <w:tr w:rsidR="00ED25E4" w:rsidRPr="00ED25E4" w:rsidTr="00ED25E4">
        <w:trPr>
          <w:trHeight w:val="480"/>
        </w:trPr>
        <w:tc>
          <w:tcPr>
            <w:tcW w:w="8789" w:type="dxa"/>
            <w:gridSpan w:val="3"/>
            <w:tcMar>
              <w:top w:w="0" w:type="dxa"/>
              <w:left w:w="108" w:type="dxa"/>
              <w:bottom w:w="0" w:type="dxa"/>
              <w:right w:w="108" w:type="dxa"/>
            </w:tcMar>
            <w:vAlign w:val="center"/>
            <w:hideMark/>
          </w:tcPr>
          <w:p w:rsidR="00ED25E4" w:rsidRPr="00ED25E4" w:rsidRDefault="00ED25E4" w:rsidP="00ED25E4">
            <w:pPr>
              <w:spacing w:after="0" w:line="240" w:lineRule="atLeast"/>
              <w:ind w:firstLine="566"/>
              <w:jc w:val="both"/>
              <w:rPr>
                <w:rFonts w:ascii="Times New Roman" w:eastAsia="Times New Roman" w:hAnsi="Times New Roman" w:cs="Times New Roman"/>
                <w:u w:val="single"/>
                <w:lang w:eastAsia="tr-TR"/>
              </w:rPr>
            </w:pPr>
            <w:r w:rsidRPr="00ED25E4">
              <w:rPr>
                <w:rFonts w:ascii="Times New Roman" w:eastAsia="Times New Roman" w:hAnsi="Times New Roman" w:cs="Times New Roman"/>
                <w:sz w:val="18"/>
                <w:szCs w:val="18"/>
                <w:u w:val="single"/>
                <w:lang w:eastAsia="tr-TR"/>
              </w:rPr>
              <w:t>Hazine ve Maliye Bakanlığı (Gelir İdaresi Başkanlığı)’</w:t>
            </w:r>
            <w:proofErr w:type="spellStart"/>
            <w:r w:rsidRPr="00ED25E4">
              <w:rPr>
                <w:rFonts w:ascii="Times New Roman" w:eastAsia="Times New Roman" w:hAnsi="Times New Roman" w:cs="Times New Roman"/>
                <w:sz w:val="18"/>
                <w:u w:val="single"/>
                <w:lang w:eastAsia="tr-TR"/>
              </w:rPr>
              <w:t>ndan</w:t>
            </w:r>
            <w:proofErr w:type="spellEnd"/>
            <w:r w:rsidRPr="00ED25E4">
              <w:rPr>
                <w:rFonts w:ascii="Times New Roman" w:eastAsia="Times New Roman" w:hAnsi="Times New Roman" w:cs="Times New Roman"/>
                <w:sz w:val="18"/>
                <w:szCs w:val="18"/>
                <w:u w:val="single"/>
                <w:lang w:eastAsia="tr-TR"/>
              </w:rPr>
              <w:t>:</w:t>
            </w:r>
          </w:p>
          <w:p w:rsidR="00ED25E4" w:rsidRPr="00ED25E4" w:rsidRDefault="00ED25E4" w:rsidP="00ED25E4">
            <w:pPr>
              <w:spacing w:before="56" w:after="0" w:line="240" w:lineRule="atLeast"/>
              <w:jc w:val="both"/>
              <w:rPr>
                <w:rFonts w:ascii="Times New Roman" w:eastAsia="Times New Roman" w:hAnsi="Times New Roman" w:cs="Times New Roman"/>
                <w:b/>
                <w:bCs/>
                <w:sz w:val="19"/>
                <w:szCs w:val="19"/>
                <w:lang w:eastAsia="tr-TR"/>
              </w:rPr>
            </w:pPr>
            <w:proofErr w:type="gramStart"/>
            <w:r w:rsidRPr="00ED25E4">
              <w:rPr>
                <w:rFonts w:ascii="Times New Roman" w:eastAsia="Times New Roman" w:hAnsi="Times New Roman" w:cs="Times New Roman"/>
                <w:b/>
                <w:bCs/>
                <w:sz w:val="18"/>
                <w:lang w:eastAsia="tr-TR"/>
              </w:rPr>
              <w:t>TAHSİLAT</w:t>
            </w:r>
            <w:proofErr w:type="gramEnd"/>
            <w:r w:rsidRPr="00ED25E4">
              <w:rPr>
                <w:rFonts w:ascii="Times New Roman" w:eastAsia="Times New Roman" w:hAnsi="Times New Roman" w:cs="Times New Roman"/>
                <w:b/>
                <w:bCs/>
                <w:sz w:val="18"/>
                <w:szCs w:val="18"/>
                <w:lang w:eastAsia="tr-TR"/>
              </w:rPr>
              <w:t> GENEL TEBLİĞİ</w:t>
            </w:r>
          </w:p>
          <w:p w:rsidR="00ED25E4" w:rsidRPr="00ED25E4" w:rsidRDefault="00ED25E4" w:rsidP="00ED25E4">
            <w:pPr>
              <w:spacing w:after="113" w:line="240" w:lineRule="atLeast"/>
              <w:jc w:val="both"/>
              <w:rPr>
                <w:rFonts w:ascii="Times New Roman" w:eastAsia="Times New Roman" w:hAnsi="Times New Roman" w:cs="Times New Roman"/>
                <w:b/>
                <w:bCs/>
                <w:sz w:val="19"/>
                <w:szCs w:val="19"/>
                <w:lang w:eastAsia="tr-TR"/>
              </w:rPr>
            </w:pPr>
            <w:r w:rsidRPr="00ED25E4">
              <w:rPr>
                <w:rFonts w:ascii="Times New Roman" w:eastAsia="Times New Roman" w:hAnsi="Times New Roman" w:cs="Times New Roman"/>
                <w:b/>
                <w:bCs/>
                <w:sz w:val="18"/>
                <w:szCs w:val="18"/>
                <w:lang w:eastAsia="tr-TR"/>
              </w:rPr>
              <w:t>(SERİ: C SIRA NO: 6)</w:t>
            </w:r>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r w:rsidRPr="00ED25E4">
              <w:rPr>
                <w:rFonts w:ascii="Times New Roman" w:eastAsia="Times New Roman" w:hAnsi="Times New Roman" w:cs="Times New Roman"/>
                <w:b/>
                <w:bCs/>
                <w:sz w:val="18"/>
                <w:szCs w:val="18"/>
                <w:lang w:eastAsia="tr-TR"/>
              </w:rPr>
              <w:t>Tecil faizi</w:t>
            </w:r>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r w:rsidRPr="00ED25E4">
              <w:rPr>
                <w:rFonts w:ascii="Times New Roman" w:eastAsia="Times New Roman" w:hAnsi="Times New Roman" w:cs="Times New Roman"/>
                <w:b/>
                <w:bCs/>
                <w:sz w:val="18"/>
                <w:szCs w:val="18"/>
                <w:lang w:eastAsia="tr-TR"/>
              </w:rPr>
              <w:t>MADDE 1- </w:t>
            </w:r>
            <w:r w:rsidRPr="00ED25E4">
              <w:rPr>
                <w:rFonts w:ascii="Times New Roman" w:eastAsia="Times New Roman" w:hAnsi="Times New Roman" w:cs="Times New Roman"/>
                <w:sz w:val="18"/>
                <w:szCs w:val="18"/>
                <w:lang w:eastAsia="tr-TR"/>
              </w:rPr>
              <w:t>6183 sayılı Amme Alacaklarının Tahsil Usulü Hakkında Kanunun 48 inci maddesi ile Bakanlığımıza tanınan yetkiye istinaden, halen yıllık %15 olarak uygulanmakta olan tecil faizi oranı bu Tebliğin yayımı tarihinden itibaren yıllık %24 olarak belirlenmiştir.</w:t>
            </w:r>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r w:rsidRPr="00ED25E4">
              <w:rPr>
                <w:rFonts w:ascii="Times New Roman" w:eastAsia="Times New Roman" w:hAnsi="Times New Roman" w:cs="Times New Roman"/>
                <w:sz w:val="18"/>
                <w:szCs w:val="18"/>
                <w:lang w:eastAsia="tr-TR"/>
              </w:rPr>
              <w:t>Bundan böyle, 6183 sayılı Kanunun 48 inci maddesine istinaden bu Tebliğin yayımı tarihinden itibaren yapılacak müracaatlara dayanılarak tecil edilen amme alacaklarına yıllık %24 oranında tecil faizi uygulanacaktır.</w:t>
            </w:r>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r w:rsidRPr="00ED25E4">
              <w:rPr>
                <w:rFonts w:ascii="Times New Roman" w:eastAsia="Times New Roman" w:hAnsi="Times New Roman" w:cs="Times New Roman"/>
                <w:sz w:val="18"/>
                <w:szCs w:val="18"/>
                <w:lang w:eastAsia="tr-TR"/>
              </w:rPr>
              <w:t>Bu Tebliğin yayımı tarihinden önce yapılan müracaatlara dayanılarak tecil edilecek olan amme alacakları ile bu Tebliğin yayımı tarihinden önce tecil edilmiş ve tecil şartlarına uygun olarak ödenmekte olan amme alacaklarına tecil şartlarına uygun olarak ödendikleri sürece müracaat tarihlerinden itibaren eski tecil faizi oranının (%15) uygulanması gerekmektedir.</w:t>
            </w:r>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proofErr w:type="gramStart"/>
            <w:r w:rsidRPr="00ED25E4">
              <w:rPr>
                <w:rFonts w:ascii="Times New Roman" w:eastAsia="Times New Roman" w:hAnsi="Times New Roman" w:cs="Times New Roman"/>
                <w:sz w:val="18"/>
                <w:lang w:eastAsia="tr-TR"/>
              </w:rPr>
              <w:t>Aynı şekilde, bu Tebliğin yayımı tarihinden önce tecil talebinde bulunulmuş ve talep kabul edilerek tecil edilmiş amme alacaklarına yönelik tecilin ihlal edilmiş olması ancak, yeni talepler üzerine yeniden tecil yapılması (tecilin geçerli sayılması) halinde, bu Tebliğin yayımlandığı tarihe kadar eski tecil faizi oranı (%15), bu tarihten sonra ödenmesi gereken taksit tutarlarına ise %24 tecil faizi oranı uygulanacaktır.</w:t>
            </w:r>
            <w:proofErr w:type="gramEnd"/>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r w:rsidRPr="00ED25E4">
              <w:rPr>
                <w:rFonts w:ascii="Times New Roman" w:eastAsia="Times New Roman" w:hAnsi="Times New Roman" w:cs="Times New Roman"/>
                <w:sz w:val="18"/>
                <w:szCs w:val="18"/>
                <w:lang w:eastAsia="tr-TR"/>
              </w:rPr>
              <w:t>Diğer taraftan, 6183 sayılı Kanunun 48 inci maddesine göre belirlenen tecil faizinin belirli yüzdesi esas alınarak anılan Kanunun 48/A maddesine göre tecil edilen alacaklar için hesaplanan tecil faizi oranı da bu Tebliğle belirlenen oran ve uygulama esasları dikkate alınarak tespit edilecektir.</w:t>
            </w:r>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r w:rsidRPr="00ED25E4">
              <w:rPr>
                <w:rFonts w:ascii="Times New Roman" w:eastAsia="Times New Roman" w:hAnsi="Times New Roman" w:cs="Times New Roman"/>
                <w:sz w:val="18"/>
                <w:szCs w:val="18"/>
                <w:lang w:eastAsia="tr-TR"/>
              </w:rPr>
              <w:t>Tecil faizi, Seri: A Sıra No: 1 </w:t>
            </w:r>
            <w:proofErr w:type="gramStart"/>
            <w:r w:rsidRPr="00ED25E4">
              <w:rPr>
                <w:rFonts w:ascii="Times New Roman" w:eastAsia="Times New Roman" w:hAnsi="Times New Roman" w:cs="Times New Roman"/>
                <w:sz w:val="18"/>
                <w:lang w:eastAsia="tr-TR"/>
              </w:rPr>
              <w:t>Tahsilat</w:t>
            </w:r>
            <w:proofErr w:type="gramEnd"/>
            <w:r w:rsidRPr="00ED25E4">
              <w:rPr>
                <w:rFonts w:ascii="Times New Roman" w:eastAsia="Times New Roman" w:hAnsi="Times New Roman" w:cs="Times New Roman"/>
                <w:sz w:val="18"/>
                <w:szCs w:val="18"/>
                <w:lang w:eastAsia="tr-TR"/>
              </w:rPr>
              <w:t> Genel Tebliğinde yer alan esaslar doğrultusunda hesaplanacaktır.</w:t>
            </w:r>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r w:rsidRPr="00ED25E4">
              <w:rPr>
                <w:rFonts w:ascii="Times New Roman" w:eastAsia="Times New Roman" w:hAnsi="Times New Roman" w:cs="Times New Roman"/>
                <w:b/>
                <w:bCs/>
                <w:sz w:val="18"/>
                <w:szCs w:val="18"/>
                <w:lang w:eastAsia="tr-TR"/>
              </w:rPr>
              <w:t>Yürürlük</w:t>
            </w:r>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r w:rsidRPr="00ED25E4">
              <w:rPr>
                <w:rFonts w:ascii="Times New Roman" w:eastAsia="Times New Roman" w:hAnsi="Times New Roman" w:cs="Times New Roman"/>
                <w:b/>
                <w:bCs/>
                <w:sz w:val="18"/>
                <w:szCs w:val="18"/>
                <w:lang w:eastAsia="tr-TR"/>
              </w:rPr>
              <w:t>MADDE 2- </w:t>
            </w:r>
            <w:r w:rsidRPr="00ED25E4">
              <w:rPr>
                <w:rFonts w:ascii="Times New Roman" w:eastAsia="Times New Roman" w:hAnsi="Times New Roman" w:cs="Times New Roman"/>
                <w:sz w:val="18"/>
                <w:szCs w:val="18"/>
                <w:lang w:eastAsia="tr-TR"/>
              </w:rPr>
              <w:t>Bu Tebliğ yayımı tarihinde yürürlüğe girer.</w:t>
            </w:r>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r w:rsidRPr="00ED25E4">
              <w:rPr>
                <w:rFonts w:ascii="Times New Roman" w:eastAsia="Times New Roman" w:hAnsi="Times New Roman" w:cs="Times New Roman"/>
                <w:b/>
                <w:bCs/>
                <w:sz w:val="18"/>
                <w:szCs w:val="18"/>
                <w:lang w:eastAsia="tr-TR"/>
              </w:rPr>
              <w:t>Yürütme</w:t>
            </w:r>
          </w:p>
          <w:p w:rsidR="00ED25E4" w:rsidRPr="00ED25E4" w:rsidRDefault="00ED25E4" w:rsidP="00ED25E4">
            <w:pPr>
              <w:spacing w:after="0" w:line="240" w:lineRule="atLeast"/>
              <w:ind w:firstLine="566"/>
              <w:jc w:val="both"/>
              <w:rPr>
                <w:rFonts w:ascii="Times New Roman" w:eastAsia="Times New Roman" w:hAnsi="Times New Roman" w:cs="Times New Roman"/>
                <w:sz w:val="19"/>
                <w:szCs w:val="19"/>
                <w:lang w:eastAsia="tr-TR"/>
              </w:rPr>
            </w:pPr>
            <w:r w:rsidRPr="00ED25E4">
              <w:rPr>
                <w:rFonts w:ascii="Times New Roman" w:eastAsia="Times New Roman" w:hAnsi="Times New Roman" w:cs="Times New Roman"/>
                <w:b/>
                <w:bCs/>
                <w:sz w:val="18"/>
                <w:szCs w:val="18"/>
                <w:lang w:eastAsia="tr-TR"/>
              </w:rPr>
              <w:t>MADDE 3- </w:t>
            </w:r>
            <w:r w:rsidRPr="00ED25E4">
              <w:rPr>
                <w:rFonts w:ascii="Times New Roman" w:eastAsia="Times New Roman" w:hAnsi="Times New Roman" w:cs="Times New Roman"/>
                <w:sz w:val="18"/>
                <w:szCs w:val="18"/>
                <w:lang w:eastAsia="tr-TR"/>
              </w:rPr>
              <w:t>Bu Tebliğ hükümlerini Hazine ve Maliye Bakanı yürütür.</w:t>
            </w:r>
          </w:p>
        </w:tc>
      </w:tr>
    </w:tbl>
    <w:p w:rsidR="00973F84" w:rsidRPr="00ED25E4" w:rsidRDefault="00973F84" w:rsidP="00ED25E4">
      <w:pPr>
        <w:jc w:val="both"/>
        <w:rPr>
          <w:rFonts w:ascii="Times New Roman" w:hAnsi="Times New Roman" w:cs="Times New Roman"/>
          <w:sz w:val="28"/>
          <w:szCs w:val="28"/>
        </w:rPr>
      </w:pPr>
    </w:p>
    <w:sectPr w:rsidR="00973F84" w:rsidRPr="00ED25E4" w:rsidSect="00973F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1173"/>
    <w:multiLevelType w:val="multilevel"/>
    <w:tmpl w:val="14DE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84A26"/>
    <w:multiLevelType w:val="multilevel"/>
    <w:tmpl w:val="C58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5D7EE9"/>
    <w:multiLevelType w:val="multilevel"/>
    <w:tmpl w:val="6D64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30374B"/>
    <w:multiLevelType w:val="multilevel"/>
    <w:tmpl w:val="05EA3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52D0C"/>
    <w:multiLevelType w:val="multilevel"/>
    <w:tmpl w:val="E012C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067346"/>
    <w:multiLevelType w:val="multilevel"/>
    <w:tmpl w:val="3BF8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0A10D0"/>
    <w:multiLevelType w:val="multilevel"/>
    <w:tmpl w:val="80DA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2E6B0E"/>
    <w:multiLevelType w:val="multilevel"/>
    <w:tmpl w:val="A622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45277D"/>
    <w:multiLevelType w:val="multilevel"/>
    <w:tmpl w:val="581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C44851"/>
    <w:multiLevelType w:val="multilevel"/>
    <w:tmpl w:val="0BA6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A503D2"/>
    <w:multiLevelType w:val="multilevel"/>
    <w:tmpl w:val="A23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926B58"/>
    <w:multiLevelType w:val="multilevel"/>
    <w:tmpl w:val="B02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6"/>
  </w:num>
  <w:num w:numId="5">
    <w:abstractNumId w:val="11"/>
  </w:num>
  <w:num w:numId="6">
    <w:abstractNumId w:val="5"/>
  </w:num>
  <w:num w:numId="7">
    <w:abstractNumId w:val="10"/>
  </w:num>
  <w:num w:numId="8">
    <w:abstractNumId w:val="9"/>
  </w:num>
  <w:num w:numId="9">
    <w:abstractNumId w:val="8"/>
  </w:num>
  <w:num w:numId="10">
    <w:abstractNumId w:val="0"/>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D25E4"/>
    <w:rsid w:val="00973F84"/>
    <w:rsid w:val="00ED25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F84"/>
  </w:style>
  <w:style w:type="paragraph" w:styleId="Balk1">
    <w:name w:val="heading 1"/>
    <w:basedOn w:val="Normal"/>
    <w:link w:val="Balk1Char"/>
    <w:uiPriority w:val="9"/>
    <w:qFormat/>
    <w:rsid w:val="00ED25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ED25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link w:val="Balk4Char"/>
    <w:uiPriority w:val="9"/>
    <w:qFormat/>
    <w:rsid w:val="00ED25E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6">
    <w:name w:val="heading 6"/>
    <w:basedOn w:val="Normal"/>
    <w:link w:val="Balk6Char"/>
    <w:uiPriority w:val="9"/>
    <w:qFormat/>
    <w:rsid w:val="00ED25E4"/>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25E4"/>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ED25E4"/>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uiPriority w:val="9"/>
    <w:rsid w:val="00ED25E4"/>
    <w:rPr>
      <w:rFonts w:ascii="Times New Roman" w:eastAsia="Times New Roman" w:hAnsi="Times New Roman" w:cs="Times New Roman"/>
      <w:b/>
      <w:bCs/>
      <w:sz w:val="15"/>
      <w:szCs w:val="15"/>
      <w:lang w:eastAsia="tr-TR"/>
    </w:rPr>
  </w:style>
  <w:style w:type="character" w:customStyle="1" w:styleId="tarih">
    <w:name w:val="tarih"/>
    <w:basedOn w:val="VarsaylanParagrafYazTipi"/>
    <w:rsid w:val="00ED25E4"/>
  </w:style>
  <w:style w:type="paragraph" w:styleId="NormalWeb">
    <w:name w:val="Normal (Web)"/>
    <w:basedOn w:val="Normal"/>
    <w:uiPriority w:val="99"/>
    <w:unhideWhenUsed/>
    <w:rsid w:val="00ED25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D25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25E4"/>
    <w:rPr>
      <w:rFonts w:ascii="Tahoma" w:hAnsi="Tahoma" w:cs="Tahoma"/>
      <w:sz w:val="16"/>
      <w:szCs w:val="16"/>
    </w:rPr>
  </w:style>
  <w:style w:type="paragraph" w:customStyle="1" w:styleId="balk11pt">
    <w:name w:val="balk11pt"/>
    <w:basedOn w:val="Normal"/>
    <w:rsid w:val="00ED25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ED25E4"/>
  </w:style>
  <w:style w:type="paragraph" w:customStyle="1" w:styleId="ortabalkbold">
    <w:name w:val="ortabalkbold"/>
    <w:basedOn w:val="Normal"/>
    <w:rsid w:val="00ED25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D25E4"/>
  </w:style>
  <w:style w:type="paragraph" w:customStyle="1" w:styleId="metin">
    <w:name w:val="metin"/>
    <w:basedOn w:val="Normal"/>
    <w:rsid w:val="00ED25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D25E4"/>
    <w:rPr>
      <w:rFonts w:asciiTheme="majorHAnsi" w:eastAsiaTheme="majorEastAsia" w:hAnsiTheme="majorHAnsi" w:cstheme="majorBidi"/>
      <w:b/>
      <w:bCs/>
      <w:color w:val="4F81BD" w:themeColor="accent1"/>
      <w:sz w:val="26"/>
      <w:szCs w:val="26"/>
    </w:rPr>
  </w:style>
  <w:style w:type="character" w:styleId="Gl">
    <w:name w:val="Strong"/>
    <w:basedOn w:val="VarsaylanParagrafYazTipi"/>
    <w:uiPriority w:val="22"/>
    <w:qFormat/>
    <w:rsid w:val="00ED25E4"/>
    <w:rPr>
      <w:b/>
      <w:bCs/>
    </w:rPr>
  </w:style>
  <w:style w:type="character" w:styleId="Kpr">
    <w:name w:val="Hyperlink"/>
    <w:basedOn w:val="VarsaylanParagrafYazTipi"/>
    <w:uiPriority w:val="99"/>
    <w:semiHidden/>
    <w:unhideWhenUsed/>
    <w:rsid w:val="00ED25E4"/>
    <w:rPr>
      <w:color w:val="0000FF"/>
      <w:u w:val="single"/>
    </w:rPr>
  </w:style>
</w:styles>
</file>

<file path=word/webSettings.xml><?xml version="1.0" encoding="utf-8"?>
<w:webSettings xmlns:r="http://schemas.openxmlformats.org/officeDocument/2006/relationships" xmlns:w="http://schemas.openxmlformats.org/wordprocessingml/2006/main">
  <w:divs>
    <w:div w:id="277641774">
      <w:bodyDiv w:val="1"/>
      <w:marLeft w:val="0"/>
      <w:marRight w:val="0"/>
      <w:marTop w:val="0"/>
      <w:marBottom w:val="0"/>
      <w:divBdr>
        <w:top w:val="none" w:sz="0" w:space="0" w:color="auto"/>
        <w:left w:val="none" w:sz="0" w:space="0" w:color="auto"/>
        <w:bottom w:val="none" w:sz="0" w:space="0" w:color="auto"/>
        <w:right w:val="none" w:sz="0" w:space="0" w:color="auto"/>
      </w:divBdr>
      <w:divsChild>
        <w:div w:id="1075669680">
          <w:marLeft w:val="0"/>
          <w:marRight w:val="0"/>
          <w:marTop w:val="600"/>
          <w:marBottom w:val="0"/>
          <w:divBdr>
            <w:top w:val="none" w:sz="0" w:space="0" w:color="auto"/>
            <w:left w:val="none" w:sz="0" w:space="0" w:color="auto"/>
            <w:bottom w:val="none" w:sz="0" w:space="0" w:color="auto"/>
            <w:right w:val="none" w:sz="0" w:space="0" w:color="auto"/>
          </w:divBdr>
          <w:divsChild>
            <w:div w:id="987130128">
              <w:marLeft w:val="0"/>
              <w:marRight w:val="0"/>
              <w:marTop w:val="0"/>
              <w:marBottom w:val="0"/>
              <w:divBdr>
                <w:top w:val="none" w:sz="0" w:space="0" w:color="auto"/>
                <w:left w:val="none" w:sz="0" w:space="0" w:color="auto"/>
                <w:bottom w:val="none" w:sz="0" w:space="0" w:color="auto"/>
                <w:right w:val="none" w:sz="0" w:space="0" w:color="auto"/>
              </w:divBdr>
            </w:div>
          </w:divsChild>
        </w:div>
        <w:div w:id="1436485829">
          <w:marLeft w:val="0"/>
          <w:marRight w:val="0"/>
          <w:marTop w:val="600"/>
          <w:marBottom w:val="300"/>
          <w:divBdr>
            <w:top w:val="none" w:sz="0" w:space="0" w:color="auto"/>
            <w:left w:val="none" w:sz="0" w:space="0" w:color="auto"/>
            <w:bottom w:val="none" w:sz="0" w:space="0" w:color="auto"/>
            <w:right w:val="none" w:sz="0" w:space="0" w:color="auto"/>
          </w:divBdr>
          <w:divsChild>
            <w:div w:id="2142111006">
              <w:marLeft w:val="0"/>
              <w:marRight w:val="0"/>
              <w:marTop w:val="0"/>
              <w:marBottom w:val="0"/>
              <w:divBdr>
                <w:top w:val="none" w:sz="0" w:space="0" w:color="auto"/>
                <w:left w:val="none" w:sz="0" w:space="0" w:color="auto"/>
                <w:bottom w:val="none" w:sz="0" w:space="0" w:color="auto"/>
                <w:right w:val="none" w:sz="0" w:space="0" w:color="auto"/>
              </w:divBdr>
            </w:div>
          </w:divsChild>
        </w:div>
        <w:div w:id="957756920">
          <w:marLeft w:val="0"/>
          <w:marRight w:val="0"/>
          <w:marTop w:val="600"/>
          <w:marBottom w:val="0"/>
          <w:divBdr>
            <w:top w:val="none" w:sz="0" w:space="0" w:color="auto"/>
            <w:left w:val="none" w:sz="0" w:space="0" w:color="auto"/>
            <w:bottom w:val="none" w:sz="0" w:space="0" w:color="auto"/>
            <w:right w:val="none" w:sz="0" w:space="0" w:color="auto"/>
          </w:divBdr>
          <w:divsChild>
            <w:div w:id="2044667421">
              <w:marLeft w:val="0"/>
              <w:marRight w:val="0"/>
              <w:marTop w:val="0"/>
              <w:marBottom w:val="0"/>
              <w:divBdr>
                <w:top w:val="none" w:sz="0" w:space="0" w:color="auto"/>
                <w:left w:val="none" w:sz="0" w:space="0" w:color="auto"/>
                <w:bottom w:val="none" w:sz="0" w:space="0" w:color="auto"/>
                <w:right w:val="none" w:sz="0" w:space="0" w:color="auto"/>
              </w:divBdr>
            </w:div>
          </w:divsChild>
        </w:div>
        <w:div w:id="2132359046">
          <w:marLeft w:val="0"/>
          <w:marRight w:val="0"/>
          <w:marTop w:val="600"/>
          <w:marBottom w:val="300"/>
          <w:divBdr>
            <w:top w:val="none" w:sz="0" w:space="0" w:color="auto"/>
            <w:left w:val="none" w:sz="0" w:space="0" w:color="auto"/>
            <w:bottom w:val="none" w:sz="0" w:space="0" w:color="auto"/>
            <w:right w:val="none" w:sz="0" w:space="0" w:color="auto"/>
          </w:divBdr>
          <w:divsChild>
            <w:div w:id="239678074">
              <w:marLeft w:val="0"/>
              <w:marRight w:val="0"/>
              <w:marTop w:val="0"/>
              <w:marBottom w:val="0"/>
              <w:divBdr>
                <w:top w:val="none" w:sz="0" w:space="0" w:color="auto"/>
                <w:left w:val="none" w:sz="0" w:space="0" w:color="auto"/>
                <w:bottom w:val="none" w:sz="0" w:space="0" w:color="auto"/>
                <w:right w:val="none" w:sz="0" w:space="0" w:color="auto"/>
              </w:divBdr>
            </w:div>
          </w:divsChild>
        </w:div>
        <w:div w:id="1399596623">
          <w:marLeft w:val="0"/>
          <w:marRight w:val="0"/>
          <w:marTop w:val="600"/>
          <w:marBottom w:val="0"/>
          <w:divBdr>
            <w:top w:val="none" w:sz="0" w:space="0" w:color="auto"/>
            <w:left w:val="none" w:sz="0" w:space="0" w:color="auto"/>
            <w:bottom w:val="none" w:sz="0" w:space="0" w:color="auto"/>
            <w:right w:val="none" w:sz="0" w:space="0" w:color="auto"/>
          </w:divBdr>
          <w:divsChild>
            <w:div w:id="718359669">
              <w:marLeft w:val="0"/>
              <w:marRight w:val="0"/>
              <w:marTop w:val="0"/>
              <w:marBottom w:val="0"/>
              <w:divBdr>
                <w:top w:val="none" w:sz="0" w:space="0" w:color="auto"/>
                <w:left w:val="none" w:sz="0" w:space="0" w:color="auto"/>
                <w:bottom w:val="none" w:sz="0" w:space="0" w:color="auto"/>
                <w:right w:val="none" w:sz="0" w:space="0" w:color="auto"/>
              </w:divBdr>
            </w:div>
          </w:divsChild>
        </w:div>
        <w:div w:id="1041251858">
          <w:marLeft w:val="0"/>
          <w:marRight w:val="0"/>
          <w:marTop w:val="600"/>
          <w:marBottom w:val="0"/>
          <w:divBdr>
            <w:top w:val="none" w:sz="0" w:space="0" w:color="auto"/>
            <w:left w:val="none" w:sz="0" w:space="0" w:color="auto"/>
            <w:bottom w:val="none" w:sz="0" w:space="0" w:color="auto"/>
            <w:right w:val="none" w:sz="0" w:space="0" w:color="auto"/>
          </w:divBdr>
          <w:divsChild>
            <w:div w:id="1809545393">
              <w:marLeft w:val="0"/>
              <w:marRight w:val="0"/>
              <w:marTop w:val="0"/>
              <w:marBottom w:val="0"/>
              <w:divBdr>
                <w:top w:val="none" w:sz="0" w:space="0" w:color="auto"/>
                <w:left w:val="none" w:sz="0" w:space="0" w:color="auto"/>
                <w:bottom w:val="none" w:sz="0" w:space="0" w:color="auto"/>
                <w:right w:val="none" w:sz="0" w:space="0" w:color="auto"/>
              </w:divBdr>
            </w:div>
          </w:divsChild>
        </w:div>
        <w:div w:id="1130706731">
          <w:marLeft w:val="0"/>
          <w:marRight w:val="0"/>
          <w:marTop w:val="600"/>
          <w:marBottom w:val="300"/>
          <w:divBdr>
            <w:top w:val="none" w:sz="0" w:space="0" w:color="auto"/>
            <w:left w:val="none" w:sz="0" w:space="0" w:color="auto"/>
            <w:bottom w:val="none" w:sz="0" w:space="0" w:color="auto"/>
            <w:right w:val="none" w:sz="0" w:space="0" w:color="auto"/>
          </w:divBdr>
          <w:divsChild>
            <w:div w:id="1292324181">
              <w:marLeft w:val="0"/>
              <w:marRight w:val="0"/>
              <w:marTop w:val="0"/>
              <w:marBottom w:val="0"/>
              <w:divBdr>
                <w:top w:val="none" w:sz="0" w:space="0" w:color="auto"/>
                <w:left w:val="none" w:sz="0" w:space="0" w:color="auto"/>
                <w:bottom w:val="none" w:sz="0" w:space="0" w:color="auto"/>
                <w:right w:val="none" w:sz="0" w:space="0" w:color="auto"/>
              </w:divBdr>
            </w:div>
          </w:divsChild>
        </w:div>
        <w:div w:id="541207788">
          <w:marLeft w:val="0"/>
          <w:marRight w:val="0"/>
          <w:marTop w:val="600"/>
          <w:marBottom w:val="0"/>
          <w:divBdr>
            <w:top w:val="none" w:sz="0" w:space="0" w:color="auto"/>
            <w:left w:val="none" w:sz="0" w:space="0" w:color="auto"/>
            <w:bottom w:val="none" w:sz="0" w:space="0" w:color="auto"/>
            <w:right w:val="none" w:sz="0" w:space="0" w:color="auto"/>
          </w:divBdr>
          <w:divsChild>
            <w:div w:id="1046371145">
              <w:marLeft w:val="0"/>
              <w:marRight w:val="0"/>
              <w:marTop w:val="0"/>
              <w:marBottom w:val="0"/>
              <w:divBdr>
                <w:top w:val="none" w:sz="0" w:space="0" w:color="auto"/>
                <w:left w:val="none" w:sz="0" w:space="0" w:color="auto"/>
                <w:bottom w:val="none" w:sz="0" w:space="0" w:color="auto"/>
                <w:right w:val="none" w:sz="0" w:space="0" w:color="auto"/>
              </w:divBdr>
            </w:div>
          </w:divsChild>
        </w:div>
        <w:div w:id="1410423085">
          <w:marLeft w:val="0"/>
          <w:marRight w:val="0"/>
          <w:marTop w:val="600"/>
          <w:marBottom w:val="300"/>
          <w:divBdr>
            <w:top w:val="none" w:sz="0" w:space="0" w:color="auto"/>
            <w:left w:val="none" w:sz="0" w:space="0" w:color="auto"/>
            <w:bottom w:val="none" w:sz="0" w:space="0" w:color="auto"/>
            <w:right w:val="none" w:sz="0" w:space="0" w:color="auto"/>
          </w:divBdr>
          <w:divsChild>
            <w:div w:id="13651592">
              <w:marLeft w:val="0"/>
              <w:marRight w:val="0"/>
              <w:marTop w:val="0"/>
              <w:marBottom w:val="0"/>
              <w:divBdr>
                <w:top w:val="none" w:sz="0" w:space="0" w:color="auto"/>
                <w:left w:val="none" w:sz="0" w:space="0" w:color="auto"/>
                <w:bottom w:val="none" w:sz="0" w:space="0" w:color="auto"/>
                <w:right w:val="none" w:sz="0" w:space="0" w:color="auto"/>
              </w:divBdr>
            </w:div>
          </w:divsChild>
        </w:div>
        <w:div w:id="2043170421">
          <w:marLeft w:val="0"/>
          <w:marRight w:val="0"/>
          <w:marTop w:val="600"/>
          <w:marBottom w:val="0"/>
          <w:divBdr>
            <w:top w:val="none" w:sz="0" w:space="0" w:color="auto"/>
            <w:left w:val="none" w:sz="0" w:space="0" w:color="auto"/>
            <w:bottom w:val="none" w:sz="0" w:space="0" w:color="auto"/>
            <w:right w:val="none" w:sz="0" w:space="0" w:color="auto"/>
          </w:divBdr>
          <w:divsChild>
            <w:div w:id="1126386369">
              <w:marLeft w:val="0"/>
              <w:marRight w:val="0"/>
              <w:marTop w:val="0"/>
              <w:marBottom w:val="0"/>
              <w:divBdr>
                <w:top w:val="none" w:sz="0" w:space="0" w:color="auto"/>
                <w:left w:val="none" w:sz="0" w:space="0" w:color="auto"/>
                <w:bottom w:val="none" w:sz="0" w:space="0" w:color="auto"/>
                <w:right w:val="none" w:sz="0" w:space="0" w:color="auto"/>
              </w:divBdr>
            </w:div>
          </w:divsChild>
        </w:div>
        <w:div w:id="868840684">
          <w:marLeft w:val="0"/>
          <w:marRight w:val="0"/>
          <w:marTop w:val="600"/>
          <w:marBottom w:val="0"/>
          <w:divBdr>
            <w:top w:val="none" w:sz="0" w:space="0" w:color="auto"/>
            <w:left w:val="none" w:sz="0" w:space="0" w:color="auto"/>
            <w:bottom w:val="none" w:sz="0" w:space="0" w:color="auto"/>
            <w:right w:val="none" w:sz="0" w:space="0" w:color="auto"/>
          </w:divBdr>
          <w:divsChild>
            <w:div w:id="1723216897">
              <w:marLeft w:val="0"/>
              <w:marRight w:val="0"/>
              <w:marTop w:val="0"/>
              <w:marBottom w:val="0"/>
              <w:divBdr>
                <w:top w:val="none" w:sz="0" w:space="0" w:color="auto"/>
                <w:left w:val="none" w:sz="0" w:space="0" w:color="auto"/>
                <w:bottom w:val="none" w:sz="0" w:space="0" w:color="auto"/>
                <w:right w:val="none" w:sz="0" w:space="0" w:color="auto"/>
              </w:divBdr>
            </w:div>
          </w:divsChild>
        </w:div>
        <w:div w:id="251090782">
          <w:marLeft w:val="0"/>
          <w:marRight w:val="0"/>
          <w:marTop w:val="600"/>
          <w:marBottom w:val="300"/>
          <w:divBdr>
            <w:top w:val="none" w:sz="0" w:space="0" w:color="auto"/>
            <w:left w:val="none" w:sz="0" w:space="0" w:color="auto"/>
            <w:bottom w:val="none" w:sz="0" w:space="0" w:color="auto"/>
            <w:right w:val="none" w:sz="0" w:space="0" w:color="auto"/>
          </w:divBdr>
          <w:divsChild>
            <w:div w:id="703793253">
              <w:marLeft w:val="0"/>
              <w:marRight w:val="0"/>
              <w:marTop w:val="0"/>
              <w:marBottom w:val="0"/>
              <w:divBdr>
                <w:top w:val="none" w:sz="0" w:space="0" w:color="auto"/>
                <w:left w:val="none" w:sz="0" w:space="0" w:color="auto"/>
                <w:bottom w:val="none" w:sz="0" w:space="0" w:color="auto"/>
                <w:right w:val="none" w:sz="0" w:space="0" w:color="auto"/>
              </w:divBdr>
            </w:div>
          </w:divsChild>
        </w:div>
        <w:div w:id="2051570783">
          <w:marLeft w:val="0"/>
          <w:marRight w:val="0"/>
          <w:marTop w:val="600"/>
          <w:marBottom w:val="0"/>
          <w:divBdr>
            <w:top w:val="none" w:sz="0" w:space="0" w:color="auto"/>
            <w:left w:val="none" w:sz="0" w:space="0" w:color="auto"/>
            <w:bottom w:val="none" w:sz="0" w:space="0" w:color="auto"/>
            <w:right w:val="none" w:sz="0" w:space="0" w:color="auto"/>
          </w:divBdr>
          <w:divsChild>
            <w:div w:id="413478701">
              <w:marLeft w:val="0"/>
              <w:marRight w:val="0"/>
              <w:marTop w:val="0"/>
              <w:marBottom w:val="0"/>
              <w:divBdr>
                <w:top w:val="none" w:sz="0" w:space="0" w:color="auto"/>
                <w:left w:val="none" w:sz="0" w:space="0" w:color="auto"/>
                <w:bottom w:val="none" w:sz="0" w:space="0" w:color="auto"/>
                <w:right w:val="none" w:sz="0" w:space="0" w:color="auto"/>
              </w:divBdr>
            </w:div>
          </w:divsChild>
        </w:div>
        <w:div w:id="27026924">
          <w:marLeft w:val="0"/>
          <w:marRight w:val="0"/>
          <w:marTop w:val="600"/>
          <w:marBottom w:val="0"/>
          <w:divBdr>
            <w:top w:val="none" w:sz="0" w:space="0" w:color="auto"/>
            <w:left w:val="none" w:sz="0" w:space="0" w:color="auto"/>
            <w:bottom w:val="none" w:sz="0" w:space="0" w:color="auto"/>
            <w:right w:val="none" w:sz="0" w:space="0" w:color="auto"/>
          </w:divBdr>
          <w:divsChild>
            <w:div w:id="2114936622">
              <w:marLeft w:val="0"/>
              <w:marRight w:val="0"/>
              <w:marTop w:val="0"/>
              <w:marBottom w:val="0"/>
              <w:divBdr>
                <w:top w:val="none" w:sz="0" w:space="0" w:color="auto"/>
                <w:left w:val="none" w:sz="0" w:space="0" w:color="auto"/>
                <w:bottom w:val="none" w:sz="0" w:space="0" w:color="auto"/>
                <w:right w:val="none" w:sz="0" w:space="0" w:color="auto"/>
              </w:divBdr>
            </w:div>
          </w:divsChild>
        </w:div>
        <w:div w:id="32923416">
          <w:marLeft w:val="0"/>
          <w:marRight w:val="0"/>
          <w:marTop w:val="600"/>
          <w:marBottom w:val="300"/>
          <w:divBdr>
            <w:top w:val="none" w:sz="0" w:space="0" w:color="auto"/>
            <w:left w:val="none" w:sz="0" w:space="0" w:color="auto"/>
            <w:bottom w:val="none" w:sz="0" w:space="0" w:color="auto"/>
            <w:right w:val="none" w:sz="0" w:space="0" w:color="auto"/>
          </w:divBdr>
          <w:divsChild>
            <w:div w:id="1143473099">
              <w:marLeft w:val="0"/>
              <w:marRight w:val="0"/>
              <w:marTop w:val="0"/>
              <w:marBottom w:val="0"/>
              <w:divBdr>
                <w:top w:val="none" w:sz="0" w:space="0" w:color="auto"/>
                <w:left w:val="none" w:sz="0" w:space="0" w:color="auto"/>
                <w:bottom w:val="none" w:sz="0" w:space="0" w:color="auto"/>
                <w:right w:val="none" w:sz="0" w:space="0" w:color="auto"/>
              </w:divBdr>
            </w:div>
          </w:divsChild>
        </w:div>
        <w:div w:id="1966080609">
          <w:marLeft w:val="0"/>
          <w:marRight w:val="0"/>
          <w:marTop w:val="600"/>
          <w:marBottom w:val="0"/>
          <w:divBdr>
            <w:top w:val="none" w:sz="0" w:space="0" w:color="auto"/>
            <w:left w:val="none" w:sz="0" w:space="0" w:color="auto"/>
            <w:bottom w:val="none" w:sz="0" w:space="0" w:color="auto"/>
            <w:right w:val="none" w:sz="0" w:space="0" w:color="auto"/>
          </w:divBdr>
          <w:divsChild>
            <w:div w:id="1375930118">
              <w:marLeft w:val="0"/>
              <w:marRight w:val="0"/>
              <w:marTop w:val="0"/>
              <w:marBottom w:val="0"/>
              <w:divBdr>
                <w:top w:val="none" w:sz="0" w:space="0" w:color="auto"/>
                <w:left w:val="none" w:sz="0" w:space="0" w:color="auto"/>
                <w:bottom w:val="none" w:sz="0" w:space="0" w:color="auto"/>
                <w:right w:val="none" w:sz="0" w:space="0" w:color="auto"/>
              </w:divBdr>
            </w:div>
          </w:divsChild>
        </w:div>
        <w:div w:id="1880430755">
          <w:marLeft w:val="0"/>
          <w:marRight w:val="0"/>
          <w:marTop w:val="600"/>
          <w:marBottom w:val="0"/>
          <w:divBdr>
            <w:top w:val="none" w:sz="0" w:space="0" w:color="auto"/>
            <w:left w:val="none" w:sz="0" w:space="0" w:color="auto"/>
            <w:bottom w:val="none" w:sz="0" w:space="0" w:color="auto"/>
            <w:right w:val="none" w:sz="0" w:space="0" w:color="auto"/>
          </w:divBdr>
          <w:divsChild>
            <w:div w:id="1021782999">
              <w:marLeft w:val="0"/>
              <w:marRight w:val="0"/>
              <w:marTop w:val="0"/>
              <w:marBottom w:val="0"/>
              <w:divBdr>
                <w:top w:val="none" w:sz="0" w:space="0" w:color="auto"/>
                <w:left w:val="none" w:sz="0" w:space="0" w:color="auto"/>
                <w:bottom w:val="none" w:sz="0" w:space="0" w:color="auto"/>
                <w:right w:val="none" w:sz="0" w:space="0" w:color="auto"/>
              </w:divBdr>
            </w:div>
          </w:divsChild>
        </w:div>
        <w:div w:id="1000741943">
          <w:marLeft w:val="0"/>
          <w:marRight w:val="0"/>
          <w:marTop w:val="600"/>
          <w:marBottom w:val="300"/>
          <w:divBdr>
            <w:top w:val="none" w:sz="0" w:space="0" w:color="auto"/>
            <w:left w:val="none" w:sz="0" w:space="0" w:color="auto"/>
            <w:bottom w:val="none" w:sz="0" w:space="0" w:color="auto"/>
            <w:right w:val="none" w:sz="0" w:space="0" w:color="auto"/>
          </w:divBdr>
          <w:divsChild>
            <w:div w:id="881088439">
              <w:marLeft w:val="0"/>
              <w:marRight w:val="0"/>
              <w:marTop w:val="0"/>
              <w:marBottom w:val="0"/>
              <w:divBdr>
                <w:top w:val="none" w:sz="0" w:space="0" w:color="auto"/>
                <w:left w:val="none" w:sz="0" w:space="0" w:color="auto"/>
                <w:bottom w:val="none" w:sz="0" w:space="0" w:color="auto"/>
                <w:right w:val="none" w:sz="0" w:space="0" w:color="auto"/>
              </w:divBdr>
            </w:div>
          </w:divsChild>
        </w:div>
        <w:div w:id="1811707784">
          <w:marLeft w:val="0"/>
          <w:marRight w:val="0"/>
          <w:marTop w:val="600"/>
          <w:marBottom w:val="0"/>
          <w:divBdr>
            <w:top w:val="none" w:sz="0" w:space="0" w:color="auto"/>
            <w:left w:val="none" w:sz="0" w:space="0" w:color="auto"/>
            <w:bottom w:val="none" w:sz="0" w:space="0" w:color="auto"/>
            <w:right w:val="none" w:sz="0" w:space="0" w:color="auto"/>
          </w:divBdr>
          <w:divsChild>
            <w:div w:id="64957896">
              <w:marLeft w:val="0"/>
              <w:marRight w:val="0"/>
              <w:marTop w:val="0"/>
              <w:marBottom w:val="0"/>
              <w:divBdr>
                <w:top w:val="none" w:sz="0" w:space="0" w:color="auto"/>
                <w:left w:val="none" w:sz="0" w:space="0" w:color="auto"/>
                <w:bottom w:val="none" w:sz="0" w:space="0" w:color="auto"/>
                <w:right w:val="none" w:sz="0" w:space="0" w:color="auto"/>
              </w:divBdr>
            </w:div>
          </w:divsChild>
        </w:div>
        <w:div w:id="1312516255">
          <w:marLeft w:val="0"/>
          <w:marRight w:val="0"/>
          <w:marTop w:val="600"/>
          <w:marBottom w:val="300"/>
          <w:divBdr>
            <w:top w:val="none" w:sz="0" w:space="0" w:color="auto"/>
            <w:left w:val="none" w:sz="0" w:space="0" w:color="auto"/>
            <w:bottom w:val="none" w:sz="0" w:space="0" w:color="auto"/>
            <w:right w:val="none" w:sz="0" w:space="0" w:color="auto"/>
          </w:divBdr>
          <w:divsChild>
            <w:div w:id="1294291052">
              <w:marLeft w:val="0"/>
              <w:marRight w:val="0"/>
              <w:marTop w:val="0"/>
              <w:marBottom w:val="0"/>
              <w:divBdr>
                <w:top w:val="none" w:sz="0" w:space="0" w:color="auto"/>
                <w:left w:val="none" w:sz="0" w:space="0" w:color="auto"/>
                <w:bottom w:val="none" w:sz="0" w:space="0" w:color="auto"/>
                <w:right w:val="none" w:sz="0" w:space="0" w:color="auto"/>
              </w:divBdr>
            </w:div>
          </w:divsChild>
        </w:div>
        <w:div w:id="23868864">
          <w:marLeft w:val="0"/>
          <w:marRight w:val="0"/>
          <w:marTop w:val="600"/>
          <w:marBottom w:val="0"/>
          <w:divBdr>
            <w:top w:val="none" w:sz="0" w:space="0" w:color="auto"/>
            <w:left w:val="none" w:sz="0" w:space="0" w:color="auto"/>
            <w:bottom w:val="none" w:sz="0" w:space="0" w:color="auto"/>
            <w:right w:val="none" w:sz="0" w:space="0" w:color="auto"/>
          </w:divBdr>
          <w:divsChild>
            <w:div w:id="9659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0861">
      <w:bodyDiv w:val="1"/>
      <w:marLeft w:val="0"/>
      <w:marRight w:val="0"/>
      <w:marTop w:val="0"/>
      <w:marBottom w:val="0"/>
      <w:divBdr>
        <w:top w:val="none" w:sz="0" w:space="0" w:color="auto"/>
        <w:left w:val="none" w:sz="0" w:space="0" w:color="auto"/>
        <w:bottom w:val="none" w:sz="0" w:space="0" w:color="auto"/>
        <w:right w:val="none" w:sz="0" w:space="0" w:color="auto"/>
      </w:divBdr>
      <w:divsChild>
        <w:div w:id="953293488">
          <w:marLeft w:val="0"/>
          <w:marRight w:val="0"/>
          <w:marTop w:val="0"/>
          <w:marBottom w:val="0"/>
          <w:divBdr>
            <w:top w:val="none" w:sz="0" w:space="0" w:color="auto"/>
            <w:left w:val="none" w:sz="0" w:space="0" w:color="auto"/>
            <w:bottom w:val="none" w:sz="0" w:space="0" w:color="auto"/>
            <w:right w:val="none" w:sz="0" w:space="0" w:color="auto"/>
          </w:divBdr>
          <w:divsChild>
            <w:div w:id="775252694">
              <w:marLeft w:val="0"/>
              <w:marRight w:val="0"/>
              <w:marTop w:val="100"/>
              <w:marBottom w:val="100"/>
              <w:divBdr>
                <w:top w:val="none" w:sz="0" w:space="0" w:color="auto"/>
                <w:left w:val="none" w:sz="0" w:space="0" w:color="auto"/>
                <w:bottom w:val="none" w:sz="0" w:space="0" w:color="auto"/>
                <w:right w:val="none" w:sz="0" w:space="0" w:color="auto"/>
              </w:divBdr>
              <w:divsChild>
                <w:div w:id="1420984130">
                  <w:marLeft w:val="0"/>
                  <w:marRight w:val="0"/>
                  <w:marTop w:val="100"/>
                  <w:marBottom w:val="100"/>
                  <w:divBdr>
                    <w:top w:val="none" w:sz="0" w:space="0" w:color="auto"/>
                    <w:left w:val="none" w:sz="0" w:space="0" w:color="auto"/>
                    <w:bottom w:val="none" w:sz="0" w:space="0" w:color="auto"/>
                    <w:right w:val="none" w:sz="0" w:space="0" w:color="auto"/>
                  </w:divBdr>
                  <w:divsChild>
                    <w:div w:id="20268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8487">
          <w:marLeft w:val="0"/>
          <w:marRight w:val="0"/>
          <w:marTop w:val="100"/>
          <w:marBottom w:val="100"/>
          <w:divBdr>
            <w:top w:val="none" w:sz="0" w:space="0" w:color="auto"/>
            <w:left w:val="none" w:sz="0" w:space="0" w:color="auto"/>
            <w:bottom w:val="none" w:sz="0" w:space="0" w:color="auto"/>
            <w:right w:val="none" w:sz="0" w:space="0" w:color="auto"/>
          </w:divBdr>
          <w:divsChild>
            <w:div w:id="1620338252">
              <w:marLeft w:val="0"/>
              <w:marRight w:val="0"/>
              <w:marTop w:val="0"/>
              <w:marBottom w:val="0"/>
              <w:divBdr>
                <w:top w:val="none" w:sz="0" w:space="0" w:color="auto"/>
                <w:left w:val="none" w:sz="0" w:space="0" w:color="auto"/>
                <w:bottom w:val="none" w:sz="0" w:space="0" w:color="auto"/>
                <w:right w:val="none" w:sz="0" w:space="0" w:color="auto"/>
              </w:divBdr>
              <w:divsChild>
                <w:div w:id="1671130639">
                  <w:marLeft w:val="0"/>
                  <w:marRight w:val="0"/>
                  <w:marTop w:val="0"/>
                  <w:marBottom w:val="0"/>
                  <w:divBdr>
                    <w:top w:val="none" w:sz="0" w:space="0" w:color="auto"/>
                    <w:left w:val="none" w:sz="0" w:space="0" w:color="auto"/>
                    <w:bottom w:val="none" w:sz="0" w:space="0" w:color="auto"/>
                    <w:right w:val="none" w:sz="0" w:space="0" w:color="auto"/>
                  </w:divBdr>
                  <w:divsChild>
                    <w:div w:id="1492718199">
                      <w:marLeft w:val="0"/>
                      <w:marRight w:val="150"/>
                      <w:marTop w:val="0"/>
                      <w:marBottom w:val="0"/>
                      <w:divBdr>
                        <w:top w:val="none" w:sz="0" w:space="0" w:color="auto"/>
                        <w:left w:val="none" w:sz="0" w:space="0" w:color="auto"/>
                        <w:bottom w:val="none" w:sz="0" w:space="0" w:color="auto"/>
                        <w:right w:val="none" w:sz="0" w:space="0" w:color="auto"/>
                      </w:divBdr>
                    </w:div>
                    <w:div w:id="670303702">
                      <w:marLeft w:val="0"/>
                      <w:marRight w:val="0"/>
                      <w:marTop w:val="0"/>
                      <w:marBottom w:val="0"/>
                      <w:divBdr>
                        <w:top w:val="none" w:sz="0" w:space="0" w:color="auto"/>
                        <w:left w:val="none" w:sz="0" w:space="0" w:color="auto"/>
                        <w:bottom w:val="none" w:sz="0" w:space="0" w:color="auto"/>
                        <w:right w:val="none" w:sz="0" w:space="0" w:color="auto"/>
                      </w:divBdr>
                      <w:divsChild>
                        <w:div w:id="181032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69835">
      <w:bodyDiv w:val="1"/>
      <w:marLeft w:val="0"/>
      <w:marRight w:val="0"/>
      <w:marTop w:val="0"/>
      <w:marBottom w:val="0"/>
      <w:divBdr>
        <w:top w:val="none" w:sz="0" w:space="0" w:color="auto"/>
        <w:left w:val="none" w:sz="0" w:space="0" w:color="auto"/>
        <w:bottom w:val="none" w:sz="0" w:space="0" w:color="auto"/>
        <w:right w:val="none" w:sz="0" w:space="0" w:color="auto"/>
      </w:divBdr>
    </w:div>
    <w:div w:id="15765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3/11/20231114-14.htm" TargetMode="External"/><Relationship Id="rId3" Type="http://schemas.openxmlformats.org/officeDocument/2006/relationships/settings" Target="settings.xml"/><Relationship Id="rId7" Type="http://schemas.openxmlformats.org/officeDocument/2006/relationships/hyperlink" Target="https://www.resmigazete.gov.tr/eskiler/2023/11/20231114-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lu/" TargetMode="External"/><Relationship Id="rId5" Type="http://schemas.openxmlformats.org/officeDocument/2006/relationships/hyperlink" Target="http://no.l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2024-01-29T10:18:00Z</dcterms:created>
  <dcterms:modified xsi:type="dcterms:W3CDTF">2024-01-29T10:26:00Z</dcterms:modified>
</cp:coreProperties>
</file>