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35D" w:rsidRPr="0067235D" w:rsidRDefault="0067235D" w:rsidP="0067235D">
      <w:pPr>
        <w:spacing w:after="225" w:line="240" w:lineRule="auto"/>
        <w:outlineLvl w:val="2"/>
        <w:rPr>
          <w:rFonts w:ascii="Times New Roman" w:eastAsia="Times New Roman" w:hAnsi="Times New Roman" w:cs="Times New Roman"/>
          <w:b/>
          <w:bCs/>
          <w:color w:val="111111"/>
          <w:sz w:val="24"/>
          <w:szCs w:val="24"/>
          <w:lang w:eastAsia="tr-TR"/>
        </w:rPr>
      </w:pPr>
      <w:r w:rsidRPr="0067235D">
        <w:rPr>
          <w:rFonts w:ascii="Times New Roman" w:eastAsia="Times New Roman" w:hAnsi="Times New Roman" w:cs="Times New Roman"/>
          <w:b/>
          <w:bCs/>
          <w:color w:val="111111"/>
          <w:sz w:val="24"/>
          <w:szCs w:val="24"/>
          <w:lang w:eastAsia="tr-TR"/>
        </w:rPr>
        <w:t>Gümrük vergileri neye göre hesaplanır?</w:t>
      </w:r>
    </w:p>
    <w:p w:rsidR="0067235D" w:rsidRPr="0067235D" w:rsidRDefault="0067235D" w:rsidP="0067235D">
      <w:pPr>
        <w:spacing w:line="360" w:lineRule="atLeast"/>
        <w:jc w:val="both"/>
        <w:rPr>
          <w:rFonts w:ascii="Times New Roman" w:eastAsia="Times New Roman" w:hAnsi="Times New Roman" w:cs="Times New Roman"/>
          <w:color w:val="111111"/>
          <w:sz w:val="24"/>
          <w:szCs w:val="24"/>
          <w:lang w:eastAsia="tr-TR"/>
        </w:rPr>
      </w:pPr>
      <w:r w:rsidRPr="0067235D">
        <w:rPr>
          <w:rFonts w:ascii="Times New Roman" w:eastAsia="Times New Roman" w:hAnsi="Times New Roman" w:cs="Times New Roman"/>
          <w:color w:val="111111"/>
          <w:sz w:val="24"/>
          <w:szCs w:val="24"/>
          <w:lang w:eastAsia="tr-TR"/>
        </w:rPr>
        <w:t>Gümrük vergileri, gümrük yükümlülüğünün başladığı tarihte yürürlükte olan gümrük tarifesine göre hesaplanır.  Gümrük tarifesi aşağıdaki unsurlardan oluşur:</w:t>
      </w:r>
      <w:r w:rsidRPr="0067235D">
        <w:rPr>
          <w:rFonts w:ascii="Times New Roman" w:eastAsia="Times New Roman" w:hAnsi="Times New Roman" w:cs="Times New Roman"/>
          <w:color w:val="111111"/>
          <w:sz w:val="24"/>
          <w:szCs w:val="24"/>
          <w:lang w:eastAsia="tr-TR"/>
        </w:rPr>
        <w:br/>
      </w:r>
      <w:r w:rsidRPr="0067235D">
        <w:rPr>
          <w:rFonts w:ascii="Times New Roman" w:eastAsia="Times New Roman" w:hAnsi="Times New Roman" w:cs="Times New Roman"/>
          <w:b/>
          <w:bCs/>
          <w:color w:val="111111"/>
          <w:sz w:val="24"/>
          <w:szCs w:val="24"/>
          <w:lang w:eastAsia="tr-TR"/>
        </w:rPr>
        <w:t>a</w:t>
      </w:r>
      <w:proofErr w:type="gramStart"/>
      <w:r w:rsidRPr="0067235D">
        <w:rPr>
          <w:rFonts w:ascii="Times New Roman" w:eastAsia="Times New Roman" w:hAnsi="Times New Roman" w:cs="Times New Roman"/>
          <w:b/>
          <w:bCs/>
          <w:color w:val="111111"/>
          <w:sz w:val="24"/>
          <w:szCs w:val="24"/>
          <w:lang w:eastAsia="tr-TR"/>
        </w:rPr>
        <w:t>)</w:t>
      </w:r>
      <w:proofErr w:type="gramEnd"/>
      <w:r w:rsidRPr="0067235D">
        <w:rPr>
          <w:rFonts w:ascii="Times New Roman" w:eastAsia="Times New Roman" w:hAnsi="Times New Roman" w:cs="Times New Roman"/>
          <w:color w:val="111111"/>
          <w:sz w:val="24"/>
          <w:szCs w:val="24"/>
          <w:lang w:eastAsia="tr-TR"/>
        </w:rPr>
        <w:t> Türk Gümrük Tarife Cetveli,</w:t>
      </w:r>
    </w:p>
    <w:p w:rsidR="0067235D" w:rsidRPr="0067235D" w:rsidRDefault="0067235D" w:rsidP="0067235D">
      <w:pPr>
        <w:spacing w:line="360" w:lineRule="atLeast"/>
        <w:jc w:val="both"/>
        <w:rPr>
          <w:rFonts w:ascii="Times New Roman" w:eastAsia="Times New Roman" w:hAnsi="Times New Roman" w:cs="Times New Roman"/>
          <w:color w:val="111111"/>
          <w:sz w:val="24"/>
          <w:szCs w:val="24"/>
          <w:lang w:eastAsia="tr-TR"/>
        </w:rPr>
      </w:pPr>
      <w:r w:rsidRPr="0067235D">
        <w:rPr>
          <w:rFonts w:ascii="Times New Roman" w:eastAsia="Times New Roman" w:hAnsi="Times New Roman" w:cs="Times New Roman"/>
          <w:b/>
          <w:bCs/>
          <w:color w:val="111111"/>
          <w:sz w:val="24"/>
          <w:szCs w:val="24"/>
          <w:lang w:eastAsia="tr-TR"/>
        </w:rPr>
        <w:t>b)</w:t>
      </w:r>
      <w:r w:rsidRPr="0067235D">
        <w:rPr>
          <w:rFonts w:ascii="Times New Roman" w:eastAsia="Times New Roman" w:hAnsi="Times New Roman" w:cs="Times New Roman"/>
          <w:color w:val="111111"/>
          <w:sz w:val="24"/>
          <w:szCs w:val="24"/>
          <w:lang w:eastAsia="tr-TR"/>
        </w:rPr>
        <w:t> Tamamen veya kısmen Türk Gümrük Tarife Cetveline dayanan veya bu cetvele alt açılımlar ekleyen ve eşya ticaretine ilişkin tarife önlemlerinin uygulanması için tespit edilen diğer cetveller,</w:t>
      </w:r>
    </w:p>
    <w:p w:rsidR="0067235D" w:rsidRPr="0067235D" w:rsidRDefault="0067235D" w:rsidP="0067235D">
      <w:pPr>
        <w:spacing w:line="360" w:lineRule="atLeast"/>
        <w:jc w:val="both"/>
        <w:rPr>
          <w:rFonts w:ascii="Times New Roman" w:eastAsia="Times New Roman" w:hAnsi="Times New Roman" w:cs="Times New Roman"/>
          <w:color w:val="111111"/>
          <w:sz w:val="24"/>
          <w:szCs w:val="24"/>
          <w:lang w:eastAsia="tr-TR"/>
        </w:rPr>
      </w:pPr>
      <w:r w:rsidRPr="0067235D">
        <w:rPr>
          <w:rFonts w:ascii="Times New Roman" w:eastAsia="Times New Roman" w:hAnsi="Times New Roman" w:cs="Times New Roman"/>
          <w:b/>
          <w:bCs/>
          <w:color w:val="111111"/>
          <w:sz w:val="24"/>
          <w:szCs w:val="24"/>
          <w:lang w:eastAsia="tr-TR"/>
        </w:rPr>
        <w:t>c) </w:t>
      </w:r>
      <w:r w:rsidRPr="0067235D">
        <w:rPr>
          <w:rFonts w:ascii="Times New Roman" w:eastAsia="Times New Roman" w:hAnsi="Times New Roman" w:cs="Times New Roman"/>
          <w:color w:val="111111"/>
          <w:sz w:val="24"/>
          <w:szCs w:val="24"/>
          <w:lang w:eastAsia="tr-TR"/>
        </w:rPr>
        <w:t>Türk Gümrük Tarifesinin kapsadığı eşyaya uygulanacak olan;</w:t>
      </w:r>
      <w:r w:rsidRPr="0067235D">
        <w:rPr>
          <w:rFonts w:ascii="Times New Roman" w:eastAsia="Times New Roman" w:hAnsi="Times New Roman" w:cs="Times New Roman"/>
          <w:color w:val="111111"/>
          <w:sz w:val="24"/>
          <w:szCs w:val="24"/>
          <w:lang w:eastAsia="tr-TR"/>
        </w:rPr>
        <w:br/>
        <w:t>- Gümrük vergi oranları,</w:t>
      </w:r>
    </w:p>
    <w:p w:rsidR="0067235D" w:rsidRPr="0067235D" w:rsidRDefault="0067235D" w:rsidP="0067235D">
      <w:pPr>
        <w:spacing w:line="360" w:lineRule="atLeast"/>
        <w:jc w:val="both"/>
        <w:rPr>
          <w:rFonts w:ascii="Times New Roman" w:eastAsia="Times New Roman" w:hAnsi="Times New Roman" w:cs="Times New Roman"/>
          <w:color w:val="111111"/>
          <w:sz w:val="24"/>
          <w:szCs w:val="24"/>
          <w:lang w:eastAsia="tr-TR"/>
        </w:rPr>
      </w:pPr>
      <w:r w:rsidRPr="0067235D">
        <w:rPr>
          <w:rFonts w:ascii="Times New Roman" w:eastAsia="Times New Roman" w:hAnsi="Times New Roman" w:cs="Times New Roman"/>
          <w:color w:val="111111"/>
          <w:sz w:val="24"/>
          <w:szCs w:val="24"/>
          <w:lang w:eastAsia="tr-TR"/>
        </w:rPr>
        <w:t>- Tarım politikası veya tarım ürünlerinin işlenmesi sonucu elde edilen bazı ürünlere uygulanan özel düzenlemeler çerçevesinde alınan ithalat vergileri,</w:t>
      </w:r>
    </w:p>
    <w:p w:rsidR="0067235D" w:rsidRPr="0067235D" w:rsidRDefault="0067235D" w:rsidP="0067235D">
      <w:pPr>
        <w:spacing w:line="360" w:lineRule="atLeast"/>
        <w:jc w:val="both"/>
        <w:rPr>
          <w:rFonts w:ascii="Times New Roman" w:eastAsia="Times New Roman" w:hAnsi="Times New Roman" w:cs="Times New Roman"/>
          <w:color w:val="111111"/>
          <w:sz w:val="24"/>
          <w:szCs w:val="24"/>
          <w:lang w:eastAsia="tr-TR"/>
        </w:rPr>
      </w:pPr>
      <w:r w:rsidRPr="0067235D">
        <w:rPr>
          <w:rFonts w:ascii="Times New Roman" w:eastAsia="Times New Roman" w:hAnsi="Times New Roman" w:cs="Times New Roman"/>
          <w:b/>
          <w:bCs/>
          <w:color w:val="111111"/>
          <w:sz w:val="24"/>
          <w:szCs w:val="24"/>
          <w:lang w:eastAsia="tr-TR"/>
        </w:rPr>
        <w:t>d)</w:t>
      </w:r>
      <w:r w:rsidRPr="0067235D">
        <w:rPr>
          <w:rFonts w:ascii="Times New Roman" w:eastAsia="Times New Roman" w:hAnsi="Times New Roman" w:cs="Times New Roman"/>
          <w:color w:val="111111"/>
          <w:sz w:val="24"/>
          <w:szCs w:val="24"/>
          <w:lang w:eastAsia="tr-TR"/>
        </w:rPr>
        <w:t> Türkiye'nin bazı ülkeler veya ülke grupları ile yaptığı ve tercihli bir tarife uygulaması gerektiren anlaşmalarda yer alan tercihli tarife uygulamaları,</w:t>
      </w:r>
    </w:p>
    <w:p w:rsidR="0067235D" w:rsidRPr="0067235D" w:rsidRDefault="0067235D" w:rsidP="0067235D">
      <w:pPr>
        <w:spacing w:line="360" w:lineRule="atLeast"/>
        <w:jc w:val="both"/>
        <w:rPr>
          <w:rFonts w:ascii="Times New Roman" w:eastAsia="Times New Roman" w:hAnsi="Times New Roman" w:cs="Times New Roman"/>
          <w:color w:val="111111"/>
          <w:sz w:val="24"/>
          <w:szCs w:val="24"/>
          <w:lang w:eastAsia="tr-TR"/>
        </w:rPr>
      </w:pPr>
      <w:r w:rsidRPr="0067235D">
        <w:rPr>
          <w:rFonts w:ascii="Times New Roman" w:eastAsia="Times New Roman" w:hAnsi="Times New Roman" w:cs="Times New Roman"/>
          <w:b/>
          <w:bCs/>
          <w:color w:val="111111"/>
          <w:sz w:val="24"/>
          <w:szCs w:val="24"/>
          <w:lang w:eastAsia="tr-TR"/>
        </w:rPr>
        <w:t>e) </w:t>
      </w:r>
      <w:r w:rsidRPr="0067235D">
        <w:rPr>
          <w:rFonts w:ascii="Times New Roman" w:eastAsia="Times New Roman" w:hAnsi="Times New Roman" w:cs="Times New Roman"/>
          <w:color w:val="111111"/>
          <w:sz w:val="24"/>
          <w:szCs w:val="24"/>
          <w:lang w:eastAsia="tr-TR"/>
        </w:rPr>
        <w:t xml:space="preserve">Türkiye tarafından tek taraflı olarak bazı ülkeler, ülke grupları veya toprak parçaları için </w:t>
      </w:r>
      <w:proofErr w:type="gramStart"/>
      <w:r w:rsidRPr="0067235D">
        <w:rPr>
          <w:rFonts w:ascii="Times New Roman" w:eastAsia="Times New Roman" w:hAnsi="Times New Roman" w:cs="Times New Roman"/>
          <w:color w:val="111111"/>
          <w:sz w:val="24"/>
          <w:szCs w:val="24"/>
          <w:lang w:eastAsia="tr-TR"/>
        </w:rPr>
        <w:t>tanınan</w:t>
      </w:r>
      <w:proofErr w:type="gramEnd"/>
      <w:r w:rsidRPr="0067235D">
        <w:rPr>
          <w:rFonts w:ascii="Times New Roman" w:eastAsia="Times New Roman" w:hAnsi="Times New Roman" w:cs="Times New Roman"/>
          <w:color w:val="111111"/>
          <w:sz w:val="24"/>
          <w:szCs w:val="24"/>
          <w:lang w:eastAsia="tr-TR"/>
        </w:rPr>
        <w:t xml:space="preserve"> tercihli tarife uygulamaları,</w:t>
      </w:r>
    </w:p>
    <w:p w:rsidR="0067235D" w:rsidRPr="0067235D" w:rsidRDefault="0067235D" w:rsidP="0067235D">
      <w:pPr>
        <w:spacing w:line="360" w:lineRule="atLeast"/>
        <w:jc w:val="both"/>
        <w:rPr>
          <w:rFonts w:ascii="Times New Roman" w:eastAsia="Times New Roman" w:hAnsi="Times New Roman" w:cs="Times New Roman"/>
          <w:color w:val="111111"/>
          <w:sz w:val="24"/>
          <w:szCs w:val="24"/>
          <w:lang w:eastAsia="tr-TR"/>
        </w:rPr>
      </w:pPr>
      <w:r w:rsidRPr="0067235D">
        <w:rPr>
          <w:rFonts w:ascii="Times New Roman" w:eastAsia="Times New Roman" w:hAnsi="Times New Roman" w:cs="Times New Roman"/>
          <w:b/>
          <w:bCs/>
          <w:color w:val="111111"/>
          <w:sz w:val="24"/>
          <w:szCs w:val="24"/>
          <w:lang w:eastAsia="tr-TR"/>
        </w:rPr>
        <w:t>f) </w:t>
      </w:r>
      <w:r w:rsidRPr="0067235D">
        <w:rPr>
          <w:rFonts w:ascii="Times New Roman" w:eastAsia="Times New Roman" w:hAnsi="Times New Roman" w:cs="Times New Roman"/>
          <w:color w:val="111111"/>
          <w:sz w:val="24"/>
          <w:szCs w:val="24"/>
          <w:lang w:eastAsia="tr-TR"/>
        </w:rPr>
        <w:t>İthalat vergilerinde, bazı eşyaya şartlı olarak uygulanacak muafiyet veya indirim uygulamaları, </w:t>
      </w:r>
      <w:r w:rsidRPr="0067235D">
        <w:rPr>
          <w:rFonts w:ascii="Times New Roman" w:eastAsia="Times New Roman" w:hAnsi="Times New Roman" w:cs="Times New Roman"/>
          <w:color w:val="111111"/>
          <w:sz w:val="24"/>
          <w:szCs w:val="24"/>
          <w:lang w:eastAsia="tr-TR"/>
        </w:rPr>
        <w:br/>
      </w:r>
      <w:r w:rsidRPr="0067235D">
        <w:rPr>
          <w:rFonts w:ascii="Times New Roman" w:eastAsia="Times New Roman" w:hAnsi="Times New Roman" w:cs="Times New Roman"/>
          <w:b/>
          <w:bCs/>
          <w:color w:val="111111"/>
          <w:sz w:val="24"/>
          <w:szCs w:val="24"/>
          <w:lang w:eastAsia="tr-TR"/>
        </w:rPr>
        <w:t>g)</w:t>
      </w:r>
      <w:r w:rsidRPr="0067235D">
        <w:rPr>
          <w:rFonts w:ascii="Times New Roman" w:eastAsia="Times New Roman" w:hAnsi="Times New Roman" w:cs="Times New Roman"/>
          <w:color w:val="111111"/>
          <w:sz w:val="24"/>
          <w:szCs w:val="24"/>
          <w:lang w:eastAsia="tr-TR"/>
        </w:rPr>
        <w:t xml:space="preserve"> Yukarıdakilerin dışında kalan diğer tarife uygulamaları. Yukarıda belirtildiği gibi, Türk Gümrük Tarife Cetveli ve gümrük vergisi oranları, gümrük tarifesinin farklı unsurlarıdır. Dış ticarete konu olan eşyanın tarife sınıflandırmasına Türk Gümrük Tarife Cetveli’nde yer verilir. Eşyaya uygulanacak gümrük vergisi oranları ise, İthalat Rejimi Kararı’na ekli listelerde, ülkeler ve ülke grupları bazında düzenlenmiş olan ayrı </w:t>
      </w:r>
      <w:proofErr w:type="spellStart"/>
      <w:r w:rsidRPr="0067235D">
        <w:rPr>
          <w:rFonts w:ascii="Times New Roman" w:eastAsia="Times New Roman" w:hAnsi="Times New Roman" w:cs="Times New Roman"/>
          <w:color w:val="111111"/>
          <w:sz w:val="24"/>
          <w:szCs w:val="24"/>
          <w:lang w:eastAsia="tr-TR"/>
        </w:rPr>
        <w:t>ayrı</w:t>
      </w:r>
      <w:proofErr w:type="spellEnd"/>
      <w:r w:rsidRPr="0067235D">
        <w:rPr>
          <w:rFonts w:ascii="Times New Roman" w:eastAsia="Times New Roman" w:hAnsi="Times New Roman" w:cs="Times New Roman"/>
          <w:color w:val="111111"/>
          <w:sz w:val="24"/>
          <w:szCs w:val="24"/>
          <w:lang w:eastAsia="tr-TR"/>
        </w:rPr>
        <w:t xml:space="preserve"> sütunlarda gösterilir. </w:t>
      </w:r>
      <w:r w:rsidRPr="0067235D">
        <w:rPr>
          <w:rFonts w:ascii="Times New Roman" w:eastAsia="Times New Roman" w:hAnsi="Times New Roman" w:cs="Times New Roman"/>
          <w:color w:val="111111"/>
          <w:sz w:val="24"/>
          <w:szCs w:val="24"/>
          <w:lang w:eastAsia="tr-TR"/>
        </w:rPr>
        <w:br/>
      </w:r>
      <w:r w:rsidRPr="0067235D">
        <w:rPr>
          <w:rFonts w:ascii="Times New Roman" w:eastAsia="Times New Roman" w:hAnsi="Times New Roman" w:cs="Times New Roman"/>
          <w:color w:val="111111"/>
          <w:sz w:val="24"/>
          <w:szCs w:val="24"/>
          <w:lang w:eastAsia="tr-TR"/>
        </w:rPr>
        <w:br/>
        <w:t>Ödeyeceğiniz gümrük vergisi hesaplanırken vergi matrahına gümrük tarifesinin unsurları uygulanır. Ad-</w:t>
      </w:r>
      <w:proofErr w:type="spellStart"/>
      <w:r w:rsidRPr="0067235D">
        <w:rPr>
          <w:rFonts w:ascii="Times New Roman" w:eastAsia="Times New Roman" w:hAnsi="Times New Roman" w:cs="Times New Roman"/>
          <w:color w:val="111111"/>
          <w:sz w:val="24"/>
          <w:szCs w:val="24"/>
          <w:lang w:eastAsia="tr-TR"/>
        </w:rPr>
        <w:t>valorem</w:t>
      </w:r>
      <w:proofErr w:type="spellEnd"/>
      <w:r w:rsidRPr="0067235D">
        <w:rPr>
          <w:rFonts w:ascii="Times New Roman" w:eastAsia="Times New Roman" w:hAnsi="Times New Roman" w:cs="Times New Roman"/>
          <w:color w:val="111111"/>
          <w:sz w:val="24"/>
          <w:szCs w:val="24"/>
          <w:lang w:eastAsia="tr-TR"/>
        </w:rPr>
        <w:t xml:space="preserve"> (yani fiyat veya değer üzerinden alınan) gümrük vergilerinde verginin matrahı eşyanın kıymetidir. </w:t>
      </w:r>
    </w:p>
    <w:p w:rsidR="0067235D" w:rsidRPr="0067235D" w:rsidRDefault="0067235D" w:rsidP="0067235D">
      <w:pPr>
        <w:spacing w:line="360" w:lineRule="atLeast"/>
        <w:jc w:val="both"/>
        <w:rPr>
          <w:rFonts w:ascii="Times New Roman" w:eastAsia="Times New Roman" w:hAnsi="Times New Roman" w:cs="Times New Roman"/>
          <w:color w:val="111111"/>
          <w:sz w:val="24"/>
          <w:szCs w:val="24"/>
          <w:lang w:eastAsia="tr-TR"/>
        </w:rPr>
      </w:pPr>
      <w:r w:rsidRPr="0067235D">
        <w:rPr>
          <w:rFonts w:ascii="Times New Roman" w:eastAsia="Times New Roman" w:hAnsi="Times New Roman" w:cs="Times New Roman"/>
          <w:color w:val="111111"/>
          <w:sz w:val="24"/>
          <w:szCs w:val="24"/>
          <w:lang w:eastAsia="tr-TR"/>
        </w:rPr>
        <w:t>Bu çerçevede, gümrük vergileri hesaplanırken üç temel faktör esas alınmaktadır: </w:t>
      </w:r>
    </w:p>
    <w:p w:rsidR="0067235D" w:rsidRPr="0067235D" w:rsidRDefault="0067235D" w:rsidP="0067235D">
      <w:pPr>
        <w:spacing w:line="360" w:lineRule="atLeast"/>
        <w:jc w:val="both"/>
        <w:rPr>
          <w:rFonts w:ascii="Times New Roman" w:eastAsia="Times New Roman" w:hAnsi="Times New Roman" w:cs="Times New Roman"/>
          <w:color w:val="111111"/>
          <w:sz w:val="24"/>
          <w:szCs w:val="24"/>
          <w:lang w:eastAsia="tr-TR"/>
        </w:rPr>
      </w:pPr>
      <w:r w:rsidRPr="0067235D">
        <w:rPr>
          <w:rFonts w:ascii="Times New Roman" w:eastAsia="Times New Roman" w:hAnsi="Times New Roman" w:cs="Times New Roman"/>
          <w:b/>
          <w:bCs/>
          <w:color w:val="111111"/>
          <w:sz w:val="24"/>
          <w:szCs w:val="24"/>
          <w:lang w:eastAsia="tr-TR"/>
        </w:rPr>
        <w:t>1. </w:t>
      </w:r>
      <w:hyperlink r:id="rId4" w:tgtFrame="_blank" w:history="1">
        <w:r w:rsidRPr="0067235D">
          <w:rPr>
            <w:rFonts w:ascii="Times New Roman" w:eastAsia="Times New Roman" w:hAnsi="Times New Roman" w:cs="Times New Roman"/>
            <w:color w:val="337AB7"/>
            <w:sz w:val="24"/>
            <w:szCs w:val="24"/>
            <w:lang w:eastAsia="tr-TR"/>
          </w:rPr>
          <w:t>Eşya</w:t>
        </w:r>
        <w:r w:rsidRPr="0067235D">
          <w:rPr>
            <w:rFonts w:ascii="Times New Roman" w:eastAsia="Times New Roman" w:hAnsi="Times New Roman" w:cs="Times New Roman"/>
            <w:color w:val="337AB7"/>
            <w:sz w:val="24"/>
            <w:szCs w:val="24"/>
            <w:u w:val="single"/>
            <w:lang w:eastAsia="tr-TR"/>
          </w:rPr>
          <w:t>nın tarife sınıflandırması</w:t>
        </w:r>
      </w:hyperlink>
    </w:p>
    <w:p w:rsidR="0067235D" w:rsidRPr="0067235D" w:rsidRDefault="0067235D" w:rsidP="0067235D">
      <w:pPr>
        <w:spacing w:line="360" w:lineRule="atLeast"/>
        <w:jc w:val="both"/>
        <w:rPr>
          <w:rFonts w:ascii="Times New Roman" w:eastAsia="Times New Roman" w:hAnsi="Times New Roman" w:cs="Times New Roman"/>
          <w:color w:val="111111"/>
          <w:sz w:val="24"/>
          <w:szCs w:val="24"/>
          <w:lang w:eastAsia="tr-TR"/>
        </w:rPr>
      </w:pPr>
      <w:r w:rsidRPr="0067235D">
        <w:rPr>
          <w:rFonts w:ascii="Times New Roman" w:eastAsia="Times New Roman" w:hAnsi="Times New Roman" w:cs="Times New Roman"/>
          <w:b/>
          <w:bCs/>
          <w:color w:val="111111"/>
          <w:sz w:val="24"/>
          <w:szCs w:val="24"/>
          <w:lang w:eastAsia="tr-TR"/>
        </w:rPr>
        <w:t>2.</w:t>
      </w:r>
      <w:r w:rsidRPr="0067235D">
        <w:rPr>
          <w:rFonts w:ascii="Times New Roman" w:eastAsia="Times New Roman" w:hAnsi="Times New Roman" w:cs="Times New Roman"/>
          <w:color w:val="111111"/>
          <w:sz w:val="24"/>
          <w:szCs w:val="24"/>
          <w:lang w:eastAsia="tr-TR"/>
        </w:rPr>
        <w:t> </w:t>
      </w:r>
      <w:hyperlink r:id="rId5" w:tgtFrame="_blank" w:history="1">
        <w:r w:rsidRPr="0067235D">
          <w:rPr>
            <w:rFonts w:ascii="Times New Roman" w:eastAsia="Times New Roman" w:hAnsi="Times New Roman" w:cs="Times New Roman"/>
            <w:color w:val="337AB7"/>
            <w:sz w:val="24"/>
            <w:szCs w:val="24"/>
            <w:lang w:eastAsia="tr-TR"/>
          </w:rPr>
          <w:t>Eşya</w:t>
        </w:r>
        <w:r w:rsidRPr="0067235D">
          <w:rPr>
            <w:rFonts w:ascii="Times New Roman" w:eastAsia="Times New Roman" w:hAnsi="Times New Roman" w:cs="Times New Roman"/>
            <w:color w:val="337AB7"/>
            <w:sz w:val="24"/>
            <w:szCs w:val="24"/>
            <w:u w:val="single"/>
            <w:lang w:eastAsia="tr-TR"/>
          </w:rPr>
          <w:t>nın menşei</w:t>
        </w:r>
      </w:hyperlink>
      <w:r w:rsidRPr="0067235D">
        <w:rPr>
          <w:rFonts w:ascii="Times New Roman" w:eastAsia="Times New Roman" w:hAnsi="Times New Roman" w:cs="Times New Roman"/>
          <w:color w:val="111111"/>
          <w:sz w:val="24"/>
          <w:szCs w:val="24"/>
          <w:lang w:eastAsia="tr-TR"/>
        </w:rPr>
        <w:t> </w:t>
      </w:r>
    </w:p>
    <w:p w:rsidR="0067235D" w:rsidRPr="0067235D" w:rsidRDefault="0067235D" w:rsidP="0067235D">
      <w:pPr>
        <w:spacing w:line="360" w:lineRule="atLeast"/>
        <w:jc w:val="both"/>
        <w:rPr>
          <w:rFonts w:ascii="Times New Roman" w:eastAsia="Times New Roman" w:hAnsi="Times New Roman" w:cs="Times New Roman"/>
          <w:color w:val="111111"/>
          <w:sz w:val="24"/>
          <w:szCs w:val="24"/>
          <w:lang w:eastAsia="tr-TR"/>
        </w:rPr>
      </w:pPr>
      <w:r w:rsidRPr="0067235D">
        <w:rPr>
          <w:rFonts w:ascii="Times New Roman" w:eastAsia="Times New Roman" w:hAnsi="Times New Roman" w:cs="Times New Roman"/>
          <w:b/>
          <w:bCs/>
          <w:color w:val="111111"/>
          <w:sz w:val="24"/>
          <w:szCs w:val="24"/>
          <w:lang w:eastAsia="tr-TR"/>
        </w:rPr>
        <w:t>3.</w:t>
      </w:r>
      <w:r w:rsidRPr="0067235D">
        <w:rPr>
          <w:rFonts w:ascii="Times New Roman" w:eastAsia="Times New Roman" w:hAnsi="Times New Roman" w:cs="Times New Roman"/>
          <w:color w:val="111111"/>
          <w:sz w:val="24"/>
          <w:szCs w:val="24"/>
          <w:lang w:eastAsia="tr-TR"/>
        </w:rPr>
        <w:t> </w:t>
      </w:r>
      <w:hyperlink r:id="rId6" w:tgtFrame="_blank" w:history="1">
        <w:r w:rsidRPr="0067235D">
          <w:rPr>
            <w:rFonts w:ascii="Times New Roman" w:eastAsia="Times New Roman" w:hAnsi="Times New Roman" w:cs="Times New Roman"/>
            <w:color w:val="337AB7"/>
            <w:sz w:val="24"/>
            <w:szCs w:val="24"/>
            <w:lang w:eastAsia="tr-TR"/>
          </w:rPr>
          <w:t>Eşya</w:t>
        </w:r>
        <w:r w:rsidRPr="0067235D">
          <w:rPr>
            <w:rFonts w:ascii="Times New Roman" w:eastAsia="Times New Roman" w:hAnsi="Times New Roman" w:cs="Times New Roman"/>
            <w:color w:val="337AB7"/>
            <w:sz w:val="24"/>
            <w:szCs w:val="24"/>
            <w:u w:val="single"/>
            <w:lang w:eastAsia="tr-TR"/>
          </w:rPr>
          <w:t>nın gümrük kıymeti</w:t>
        </w:r>
      </w:hyperlink>
    </w:p>
    <w:p w:rsidR="0067235D" w:rsidRDefault="0067235D" w:rsidP="0067235D">
      <w:pPr>
        <w:spacing w:line="360" w:lineRule="atLeast"/>
        <w:jc w:val="both"/>
        <w:rPr>
          <w:rFonts w:ascii="Times New Roman" w:eastAsia="Times New Roman" w:hAnsi="Times New Roman" w:cs="Times New Roman"/>
          <w:color w:val="111111"/>
          <w:sz w:val="24"/>
          <w:szCs w:val="24"/>
          <w:lang w:eastAsia="tr-TR"/>
        </w:rPr>
      </w:pPr>
      <w:r w:rsidRPr="0067235D">
        <w:rPr>
          <w:rFonts w:ascii="Times New Roman" w:eastAsia="Times New Roman" w:hAnsi="Times New Roman" w:cs="Times New Roman"/>
          <w:color w:val="111111"/>
          <w:sz w:val="24"/>
          <w:szCs w:val="24"/>
          <w:lang w:eastAsia="tr-TR"/>
        </w:rPr>
        <w:t>İthalatınız sırasında uygulanacak olan gümrük vergisi oranı ve döviz kuru açısından gümrük beyannamesinin tescil edildiği tarihin önemli olduğunu hatırlatmak isteriz:</w:t>
      </w:r>
      <w:r w:rsidRPr="0067235D">
        <w:rPr>
          <w:rFonts w:ascii="Times New Roman" w:eastAsia="Times New Roman" w:hAnsi="Times New Roman" w:cs="Times New Roman"/>
          <w:color w:val="111111"/>
          <w:sz w:val="24"/>
          <w:szCs w:val="24"/>
          <w:lang w:eastAsia="tr-TR"/>
        </w:rPr>
        <w:br/>
      </w:r>
      <w:r w:rsidRPr="0067235D">
        <w:rPr>
          <w:rFonts w:ascii="Times New Roman" w:eastAsia="Times New Roman" w:hAnsi="Times New Roman" w:cs="Times New Roman"/>
          <w:color w:val="111111"/>
          <w:sz w:val="24"/>
          <w:szCs w:val="24"/>
          <w:lang w:eastAsia="tr-TR"/>
        </w:rPr>
        <w:lastRenderedPageBreak/>
        <w:t>İthalattan kaynaklanan gümrük vergilerini ödeme yükümlülüğünüz, gümrük beyannamesinin tescil edildiği tarihte başlar. Bu vergiler, gümrük beyannamenin tescil edildiği tarihte geçerli olan gümrük tarifesi unsurlarına göre hesaplanır. </w:t>
      </w:r>
    </w:p>
    <w:p w:rsidR="0067235D" w:rsidRPr="0067235D" w:rsidRDefault="0067235D" w:rsidP="0067235D">
      <w:pPr>
        <w:spacing w:line="360" w:lineRule="atLeast"/>
        <w:jc w:val="both"/>
        <w:rPr>
          <w:rFonts w:ascii="Times New Roman" w:eastAsia="Times New Roman" w:hAnsi="Times New Roman" w:cs="Times New Roman"/>
          <w:color w:val="111111"/>
          <w:sz w:val="24"/>
          <w:szCs w:val="24"/>
          <w:bdr w:val="none" w:sz="0" w:space="0" w:color="auto" w:frame="1"/>
          <w:lang w:eastAsia="tr-TR"/>
        </w:rPr>
      </w:pPr>
      <w:r w:rsidRPr="0067235D">
        <w:rPr>
          <w:rFonts w:ascii="Times New Roman" w:eastAsia="Times New Roman" w:hAnsi="Times New Roman" w:cs="Times New Roman"/>
          <w:b/>
          <w:bCs/>
          <w:color w:val="111111"/>
          <w:sz w:val="24"/>
          <w:szCs w:val="24"/>
          <w:lang w:eastAsia="tr-TR"/>
        </w:rPr>
        <w:t>Not:</w:t>
      </w:r>
      <w:r w:rsidRPr="0067235D">
        <w:rPr>
          <w:rFonts w:ascii="Times New Roman" w:eastAsia="Times New Roman" w:hAnsi="Times New Roman" w:cs="Times New Roman"/>
          <w:color w:val="111111"/>
          <w:sz w:val="24"/>
          <w:szCs w:val="24"/>
          <w:bdr w:val="none" w:sz="0" w:space="0" w:color="auto" w:frame="1"/>
          <w:lang w:eastAsia="tr-TR"/>
        </w:rPr>
        <w:t> Bu sayfada yer alan metinler, görseller ve videolar, yalnızca bilgilendirme amacıyla hazırlanmış olup, gümrük ve dış ticaret mevzuatı hükümleri yerine geçmez.</w:t>
      </w:r>
    </w:p>
    <w:p w:rsidR="0067235D" w:rsidRPr="0067235D" w:rsidRDefault="0067235D" w:rsidP="0067235D">
      <w:pPr>
        <w:spacing w:line="360" w:lineRule="atLeast"/>
        <w:jc w:val="both"/>
        <w:rPr>
          <w:rFonts w:ascii="Times New Roman" w:eastAsia="Times New Roman" w:hAnsi="Times New Roman" w:cs="Times New Roman"/>
          <w:color w:val="111111"/>
          <w:sz w:val="24"/>
          <w:szCs w:val="24"/>
          <w:lang w:eastAsia="tr-TR"/>
        </w:rPr>
      </w:pPr>
      <w:proofErr w:type="gramStart"/>
      <w:r w:rsidRPr="0067235D">
        <w:rPr>
          <w:rFonts w:ascii="Times New Roman" w:eastAsia="Times New Roman" w:hAnsi="Times New Roman" w:cs="Times New Roman"/>
          <w:color w:val="111111"/>
          <w:sz w:val="24"/>
          <w:szCs w:val="24"/>
          <w:bdr w:val="none" w:sz="0" w:space="0" w:color="auto" w:frame="1"/>
          <w:lang w:eastAsia="tr-TR"/>
        </w:rPr>
        <w:t>Bu sayfada yer alan bilgilerle ilgili yasal düzenleme; 4458 sayılı Gümrük Kanunu, 4760 sayılı ÖTV Kanunu, 3065 sayılı KDV Kanunu, 1567 sayılı Türk Parasının Kıymetini Koruma Hakkında Kanun, 474 sayılı Gümrük Giriş Tarife Cetveli Hakkında Kanun, 3283 sayılı Bazı Kanunlarla Tanınmış Olan Gümrük Muafiyetlerinin Kaldırılması Hakkında Kanun, 2976 sayılı Dış Ticaretin Düzenlenmesi Hakkında Kanun, 3577 sayılı İthalatta Haksız Rekabetin Önlenmesi Hakkında Kanun, 2872 sayılı Çevre Kanunu, 3093 sayılı Türkiye Radyo ve Televizyon Gelirleri Kanunu, 488 sayılı Damga Vergisi Kanunu, 4684 sayılı Kanun, 95/7606 sayılı İthalat Rejimi Kararı, Türkiye ile Avrupa Topluluğu Arasında Oluşturulan Gümrük Birliği'nin Uygulanmasına İlişkin Esaslar Hakkında 2006/10895 sayılı Karar4458 sayılı Gümrük Kanununun Bazı Maddelerinin Uygulanması Hakkında 2009/15481 sayılı Karar, 2010/339 sayılı İthalatta Kota ve Tarife Kontenjanı İdaresi Hakkında Karar ve bunlara bağlı ikincil mevzuat'ta yer almaktadır.</w:t>
      </w:r>
      <w:proofErr w:type="gramEnd"/>
    </w:p>
    <w:p w:rsidR="008269E5" w:rsidRDefault="008269E5"/>
    <w:sectPr w:rsidR="008269E5" w:rsidSect="008269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7235D"/>
    <w:rsid w:val="0067235D"/>
    <w:rsid w:val="008269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9E5"/>
  </w:style>
  <w:style w:type="paragraph" w:styleId="Balk3">
    <w:name w:val="heading 3"/>
    <w:basedOn w:val="Normal"/>
    <w:link w:val="Balk3Char"/>
    <w:uiPriority w:val="9"/>
    <w:qFormat/>
    <w:rsid w:val="0067235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7235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67235D"/>
    <w:rPr>
      <w:b/>
      <w:bCs/>
    </w:rPr>
  </w:style>
  <w:style w:type="character" w:styleId="Kpr">
    <w:name w:val="Hyperlink"/>
    <w:basedOn w:val="VarsaylanParagrafYazTipi"/>
    <w:uiPriority w:val="99"/>
    <w:semiHidden/>
    <w:unhideWhenUsed/>
    <w:rsid w:val="0067235D"/>
    <w:rPr>
      <w:color w:val="0000FF"/>
      <w:u w:val="single"/>
    </w:rPr>
  </w:style>
  <w:style w:type="paragraph" w:styleId="BalonMetni">
    <w:name w:val="Balloon Text"/>
    <w:basedOn w:val="Normal"/>
    <w:link w:val="BalonMetniChar"/>
    <w:uiPriority w:val="99"/>
    <w:semiHidden/>
    <w:unhideWhenUsed/>
    <w:rsid w:val="006723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23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2630507">
      <w:bodyDiv w:val="1"/>
      <w:marLeft w:val="0"/>
      <w:marRight w:val="0"/>
      <w:marTop w:val="0"/>
      <w:marBottom w:val="0"/>
      <w:divBdr>
        <w:top w:val="none" w:sz="0" w:space="0" w:color="auto"/>
        <w:left w:val="none" w:sz="0" w:space="0" w:color="auto"/>
        <w:bottom w:val="none" w:sz="0" w:space="0" w:color="auto"/>
        <w:right w:val="none" w:sz="0" w:space="0" w:color="auto"/>
      </w:divBdr>
      <w:divsChild>
        <w:div w:id="1758676441">
          <w:marLeft w:val="0"/>
          <w:marRight w:val="0"/>
          <w:marTop w:val="0"/>
          <w:marBottom w:val="0"/>
          <w:divBdr>
            <w:top w:val="none" w:sz="0" w:space="0" w:color="auto"/>
            <w:left w:val="none" w:sz="0" w:space="0" w:color="auto"/>
            <w:bottom w:val="none" w:sz="0" w:space="0" w:color="auto"/>
            <w:right w:val="none" w:sz="0" w:space="0" w:color="auto"/>
          </w:divBdr>
          <w:divsChild>
            <w:div w:id="170721326">
              <w:marLeft w:val="0"/>
              <w:marRight w:val="0"/>
              <w:marTop w:val="0"/>
              <w:marBottom w:val="0"/>
              <w:divBdr>
                <w:top w:val="none" w:sz="0" w:space="0" w:color="auto"/>
                <w:left w:val="none" w:sz="0" w:space="0" w:color="auto"/>
                <w:bottom w:val="none" w:sz="0" w:space="0" w:color="auto"/>
                <w:right w:val="none" w:sz="0" w:space="0" w:color="auto"/>
              </w:divBdr>
              <w:divsChild>
                <w:div w:id="111174176">
                  <w:marLeft w:val="0"/>
                  <w:marRight w:val="0"/>
                  <w:marTop w:val="100"/>
                  <w:marBottom w:val="1275"/>
                  <w:divBdr>
                    <w:top w:val="none" w:sz="0" w:space="0" w:color="auto"/>
                    <w:left w:val="none" w:sz="0" w:space="0" w:color="auto"/>
                    <w:bottom w:val="none" w:sz="0" w:space="0" w:color="auto"/>
                    <w:right w:val="none" w:sz="0" w:space="0" w:color="auto"/>
                  </w:divBdr>
                  <w:divsChild>
                    <w:div w:id="334772014">
                      <w:marLeft w:val="-240"/>
                      <w:marRight w:val="-240"/>
                      <w:marTop w:val="0"/>
                      <w:marBottom w:val="0"/>
                      <w:divBdr>
                        <w:top w:val="none" w:sz="0" w:space="0" w:color="auto"/>
                        <w:left w:val="none" w:sz="0" w:space="0" w:color="auto"/>
                        <w:bottom w:val="none" w:sz="0" w:space="0" w:color="auto"/>
                        <w:right w:val="none" w:sz="0" w:space="0" w:color="auto"/>
                      </w:divBdr>
                      <w:divsChild>
                        <w:div w:id="464199512">
                          <w:marLeft w:val="240"/>
                          <w:marRight w:val="240"/>
                          <w:marTop w:val="240"/>
                          <w:marBottom w:val="240"/>
                          <w:divBdr>
                            <w:top w:val="none" w:sz="0" w:space="0" w:color="auto"/>
                            <w:left w:val="none" w:sz="0" w:space="0" w:color="auto"/>
                            <w:bottom w:val="none" w:sz="0" w:space="0" w:color="auto"/>
                            <w:right w:val="none" w:sz="0" w:space="0" w:color="auto"/>
                          </w:divBdr>
                          <w:divsChild>
                            <w:div w:id="1093089828">
                              <w:marLeft w:val="0"/>
                              <w:marRight w:val="480"/>
                              <w:marTop w:val="0"/>
                              <w:marBottom w:val="0"/>
                              <w:divBdr>
                                <w:top w:val="none" w:sz="0" w:space="0" w:color="auto"/>
                                <w:left w:val="none" w:sz="0" w:space="0" w:color="auto"/>
                                <w:bottom w:val="none" w:sz="0" w:space="0" w:color="auto"/>
                                <w:right w:val="none" w:sz="0" w:space="0" w:color="auto"/>
                              </w:divBdr>
                              <w:divsChild>
                                <w:div w:id="33692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umrukrehberi.gov.tr/sayfa/e%C5%9Fyan%C4%B1n-g%C3%BCmr%C3%BCk-k%C4%B1ymeti" TargetMode="External"/><Relationship Id="rId5" Type="http://schemas.openxmlformats.org/officeDocument/2006/relationships/hyperlink" Target="https://gumrukrehberi.gov.tr/sayfa/e%C5%9Fyan%C4%B1n-men%C5%9Fei-ne-demektir" TargetMode="External"/><Relationship Id="rId4" Type="http://schemas.openxmlformats.org/officeDocument/2006/relationships/hyperlink" Target="https://gumrukrehberi.gov.tr/sayfa/tarife-s%C4%B1n%C4%B1fland%C4%B1rmas%C4%B1-nedi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2024-03-19T09:56:00Z</dcterms:created>
  <dcterms:modified xsi:type="dcterms:W3CDTF">2024-03-19T09:58:00Z</dcterms:modified>
</cp:coreProperties>
</file>