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FDB" w:rsidRPr="00A70718" w:rsidRDefault="00A70718" w:rsidP="004A5FDB">
      <w:pPr>
        <w:pStyle w:val="AralkYok"/>
        <w:jc w:val="both"/>
        <w:rPr>
          <w:rFonts w:ascii="Times New Roman" w:hAnsi="Times New Roman" w:cs="Times New Roman"/>
          <w:b/>
          <w:color w:val="FF0000"/>
          <w:sz w:val="24"/>
          <w:szCs w:val="24"/>
        </w:rPr>
      </w:pPr>
      <w:r w:rsidRPr="00A70718">
        <w:rPr>
          <w:rFonts w:ascii="Times New Roman" w:hAnsi="Times New Roman" w:cs="Times New Roman"/>
          <w:b/>
          <w:color w:val="FF0000"/>
          <w:sz w:val="24"/>
          <w:szCs w:val="24"/>
        </w:rPr>
        <w:t>GENEL KURUL KARARLARININ İPTAL NEDENİ ÖRTÜLÜ KAZANÇ AKTARIMI</w:t>
      </w:r>
    </w:p>
    <w:p w:rsidR="004A5FDB" w:rsidRPr="004A5FDB" w:rsidRDefault="004A5FDB" w:rsidP="004A5FDB">
      <w:pPr>
        <w:pStyle w:val="AralkYok"/>
        <w:jc w:val="both"/>
        <w:rPr>
          <w:rFonts w:ascii="Times New Roman" w:eastAsia="Times New Roman" w:hAnsi="Times New Roman" w:cs="Times New Roman"/>
          <w:color w:val="828282"/>
          <w:sz w:val="28"/>
          <w:szCs w:val="28"/>
          <w:lang w:eastAsia="tr-TR"/>
        </w:rPr>
      </w:pPr>
    </w:p>
    <w:p w:rsidR="004A5FDB" w:rsidRPr="004A5FDB" w:rsidRDefault="004A5FDB" w:rsidP="004A5FDB">
      <w:pPr>
        <w:pStyle w:val="AralkYok"/>
        <w:jc w:val="both"/>
        <w:rPr>
          <w:rFonts w:ascii="Times New Roman" w:eastAsia="Times New Roman" w:hAnsi="Times New Roman" w:cs="Times New Roman"/>
          <w:color w:val="828282"/>
          <w:sz w:val="28"/>
          <w:szCs w:val="28"/>
          <w:lang w:eastAsia="tr-TR"/>
        </w:rPr>
      </w:pPr>
      <w:r w:rsidRPr="004A5FDB">
        <w:rPr>
          <w:rFonts w:ascii="Times New Roman" w:eastAsia="Times New Roman" w:hAnsi="Times New Roman" w:cs="Times New Roman"/>
          <w:color w:val="828282"/>
          <w:sz w:val="28"/>
          <w:szCs w:val="28"/>
          <w:lang w:eastAsia="tr-TR"/>
        </w:rPr>
        <w:t>Anonim şirketlerde örtülü kazanç aktarımı, geniş anlamda şirket malvarlığının ilişkili taraflara aktarılmasını konu alan ve birçok farklı görünümü barındıran bir kavram olarak karşımıza çıkar. Sermaye piyasaları hukukunda kanun seviyesinde ve ikincil mevzuatta detaylı düzenlenen bu kavram, kapalı anonim şirketler bakımından hem sermayenin korunması ilkesi kapsamında hem de dürüstlük kuralı şemsiyesi altında, yargı kararlarına konu olabilmektedir.</w:t>
      </w:r>
    </w:p>
    <w:p w:rsidR="004A5FDB" w:rsidRDefault="004A5FDB" w:rsidP="004A5FDB">
      <w:pPr>
        <w:pStyle w:val="AralkYok"/>
        <w:jc w:val="both"/>
        <w:rPr>
          <w:rFonts w:ascii="Times New Roman" w:eastAsia="Times New Roman" w:hAnsi="Times New Roman" w:cs="Times New Roman"/>
          <w:color w:val="828282"/>
          <w:sz w:val="28"/>
          <w:szCs w:val="28"/>
          <w:lang w:eastAsia="tr-TR"/>
        </w:rPr>
      </w:pPr>
    </w:p>
    <w:p w:rsidR="004A5FDB" w:rsidRPr="004A5FDB" w:rsidRDefault="004A5FDB" w:rsidP="004A5FDB">
      <w:pPr>
        <w:pStyle w:val="AralkYok"/>
        <w:jc w:val="both"/>
        <w:rPr>
          <w:rFonts w:ascii="Times New Roman" w:eastAsia="Times New Roman" w:hAnsi="Times New Roman" w:cs="Times New Roman"/>
          <w:color w:val="828282"/>
          <w:sz w:val="28"/>
          <w:szCs w:val="28"/>
          <w:lang w:eastAsia="tr-TR"/>
        </w:rPr>
      </w:pPr>
      <w:r w:rsidRPr="004A5FDB">
        <w:rPr>
          <w:rFonts w:ascii="Times New Roman" w:eastAsia="Times New Roman" w:hAnsi="Times New Roman" w:cs="Times New Roman"/>
          <w:color w:val="828282"/>
          <w:sz w:val="28"/>
          <w:szCs w:val="28"/>
          <w:lang w:eastAsia="tr-TR"/>
        </w:rPr>
        <w:t>Yargıtay 11. Hukuk Dairesi’nin 2021 yılı Kasım ayında verdiği bir onama kararında aynı zamanda pay sahibi de olan yönetim kurulu üyelerine genel kurul kararıyla tanınan mali haklar, dürüstlük kuralına aykırı bulunmuş, ilgili genel kurul kararı iptal edilmiştir. Anılan Yargıtay kararı ve bu karara konu Bölge Adliye Mahkemesi kararı ekseninde, kapalı anonim şirketlerde örtülü kazanç aktarımının teşkil edebilecek yönetim kurulu üyelerinin mali hakları, bu Hukuk Postası makalesinin konusunu oluşturur.</w:t>
      </w:r>
    </w:p>
    <w:p w:rsidR="004A5FDB" w:rsidRDefault="004A5FDB" w:rsidP="004A5FDB">
      <w:pPr>
        <w:pStyle w:val="AralkYok"/>
        <w:jc w:val="both"/>
        <w:rPr>
          <w:rFonts w:ascii="Times New Roman" w:eastAsia="Times New Roman" w:hAnsi="Times New Roman" w:cs="Times New Roman"/>
          <w:sz w:val="28"/>
          <w:szCs w:val="28"/>
          <w:lang w:eastAsia="tr-TR"/>
        </w:rPr>
      </w:pPr>
    </w:p>
    <w:p w:rsidR="004A5FDB" w:rsidRPr="004A5FDB" w:rsidRDefault="004A5FDB" w:rsidP="004A5FDB">
      <w:pPr>
        <w:pStyle w:val="AralkYok"/>
        <w:jc w:val="both"/>
        <w:rPr>
          <w:rFonts w:ascii="Times New Roman" w:eastAsia="Times New Roman" w:hAnsi="Times New Roman" w:cs="Times New Roman"/>
          <w:sz w:val="28"/>
          <w:szCs w:val="28"/>
          <w:lang w:eastAsia="tr-TR"/>
        </w:rPr>
      </w:pPr>
      <w:r w:rsidRPr="004A5FDB">
        <w:rPr>
          <w:rFonts w:ascii="Times New Roman" w:eastAsia="Times New Roman" w:hAnsi="Times New Roman" w:cs="Times New Roman"/>
          <w:sz w:val="28"/>
          <w:szCs w:val="28"/>
          <w:lang w:eastAsia="tr-TR"/>
        </w:rPr>
        <w:t>Şirketler Hukukunda Yönetim Kurulu Üyelerinin Mali Hakları</w:t>
      </w:r>
    </w:p>
    <w:p w:rsidR="004A5FDB" w:rsidRDefault="004A5FDB" w:rsidP="004A5FDB">
      <w:pPr>
        <w:pStyle w:val="AralkYok"/>
        <w:jc w:val="both"/>
        <w:rPr>
          <w:rFonts w:ascii="Times New Roman" w:eastAsia="Times New Roman" w:hAnsi="Times New Roman" w:cs="Times New Roman"/>
          <w:color w:val="828282"/>
          <w:sz w:val="28"/>
          <w:szCs w:val="28"/>
          <w:lang w:eastAsia="tr-TR"/>
        </w:rPr>
      </w:pPr>
    </w:p>
    <w:p w:rsidR="004A5FDB" w:rsidRPr="004A5FDB" w:rsidRDefault="004A5FDB" w:rsidP="004A5FDB">
      <w:pPr>
        <w:pStyle w:val="AralkYok"/>
        <w:jc w:val="both"/>
        <w:rPr>
          <w:rFonts w:ascii="Times New Roman" w:eastAsia="Times New Roman" w:hAnsi="Times New Roman" w:cs="Times New Roman"/>
          <w:color w:val="828282"/>
          <w:sz w:val="28"/>
          <w:szCs w:val="28"/>
          <w:lang w:eastAsia="tr-TR"/>
        </w:rPr>
      </w:pPr>
      <w:r w:rsidRPr="004A5FDB">
        <w:rPr>
          <w:rFonts w:ascii="Times New Roman" w:eastAsia="Times New Roman" w:hAnsi="Times New Roman" w:cs="Times New Roman"/>
          <w:color w:val="828282"/>
          <w:sz w:val="28"/>
          <w:szCs w:val="28"/>
          <w:lang w:eastAsia="tr-TR"/>
        </w:rPr>
        <w:t>Yönetim kurulu üyelerinin mali haklarına ilişkin başlıca hükümlerden olan 6102 sayılı Türk Ticaret Kanunu (“TTK”) m. 394 uyarınca “Yönetim kurulu üyelerine, tutarı esas sözleşmeyle veya genel kurul kararıyla belirlenmiş olmak şartıyla huzur hakkı, ücret, ikramiye, prim ve yıllık kârdan pay ödenebilir”. Sayılan mali haklardan birkaçının bir arada tanınmasına engel yoktur</w:t>
      </w:r>
      <w:r>
        <w:rPr>
          <w:rFonts w:ascii="Times New Roman" w:eastAsia="Times New Roman" w:hAnsi="Times New Roman" w:cs="Times New Roman"/>
          <w:color w:val="828282"/>
          <w:sz w:val="28"/>
          <w:szCs w:val="28"/>
          <w:lang w:eastAsia="tr-TR"/>
        </w:rPr>
        <w:t>.</w:t>
      </w:r>
    </w:p>
    <w:p w:rsidR="004A5FDB" w:rsidRDefault="004A5FDB" w:rsidP="004A5FDB">
      <w:pPr>
        <w:pStyle w:val="AralkYok"/>
        <w:jc w:val="both"/>
        <w:rPr>
          <w:rFonts w:ascii="Times New Roman" w:eastAsia="Times New Roman" w:hAnsi="Times New Roman" w:cs="Times New Roman"/>
          <w:color w:val="828282"/>
          <w:sz w:val="28"/>
          <w:szCs w:val="28"/>
          <w:lang w:eastAsia="tr-TR"/>
        </w:rPr>
      </w:pPr>
    </w:p>
    <w:p w:rsidR="004A5FDB" w:rsidRPr="004A5FDB" w:rsidRDefault="004A5FDB" w:rsidP="004A5FDB">
      <w:pPr>
        <w:pStyle w:val="AralkYok"/>
        <w:jc w:val="both"/>
        <w:rPr>
          <w:rFonts w:ascii="Times New Roman" w:eastAsia="Times New Roman" w:hAnsi="Times New Roman" w:cs="Times New Roman"/>
          <w:color w:val="828282"/>
          <w:sz w:val="28"/>
          <w:szCs w:val="28"/>
          <w:lang w:eastAsia="tr-TR"/>
        </w:rPr>
      </w:pPr>
      <w:r w:rsidRPr="004A5FDB">
        <w:rPr>
          <w:rFonts w:ascii="Times New Roman" w:eastAsia="Times New Roman" w:hAnsi="Times New Roman" w:cs="Times New Roman"/>
          <w:color w:val="828282"/>
          <w:sz w:val="28"/>
          <w:szCs w:val="28"/>
          <w:lang w:eastAsia="tr-TR"/>
        </w:rPr>
        <w:t>TTK m. 394’ün lafzı, 6762 sayılı mülga Türk Ticaret Kanunu (“</w:t>
      </w:r>
      <w:proofErr w:type="spellStart"/>
      <w:r w:rsidRPr="004A5FDB">
        <w:rPr>
          <w:rFonts w:ascii="Times New Roman" w:eastAsia="Times New Roman" w:hAnsi="Times New Roman" w:cs="Times New Roman"/>
          <w:color w:val="828282"/>
          <w:sz w:val="28"/>
          <w:szCs w:val="28"/>
          <w:lang w:eastAsia="tr-TR"/>
        </w:rPr>
        <w:t>eTK</w:t>
      </w:r>
      <w:proofErr w:type="spellEnd"/>
      <w:r w:rsidRPr="004A5FDB">
        <w:rPr>
          <w:rFonts w:ascii="Times New Roman" w:eastAsia="Times New Roman" w:hAnsi="Times New Roman" w:cs="Times New Roman"/>
          <w:color w:val="828282"/>
          <w:sz w:val="28"/>
          <w:szCs w:val="28"/>
          <w:lang w:eastAsia="tr-TR"/>
        </w:rPr>
        <w:t xml:space="preserve">”) m. 333’e kıyasla önemli iki değişiklik barındırır. Bunlardan ilki, </w:t>
      </w:r>
      <w:proofErr w:type="spellStart"/>
      <w:r w:rsidRPr="004A5FDB">
        <w:rPr>
          <w:rFonts w:ascii="Times New Roman" w:eastAsia="Times New Roman" w:hAnsi="Times New Roman" w:cs="Times New Roman"/>
          <w:color w:val="828282"/>
          <w:sz w:val="28"/>
          <w:szCs w:val="28"/>
          <w:lang w:eastAsia="tr-TR"/>
        </w:rPr>
        <w:t>eTK’da</w:t>
      </w:r>
      <w:proofErr w:type="spellEnd"/>
      <w:r w:rsidRPr="004A5FDB">
        <w:rPr>
          <w:rFonts w:ascii="Times New Roman" w:eastAsia="Times New Roman" w:hAnsi="Times New Roman" w:cs="Times New Roman"/>
          <w:color w:val="828282"/>
          <w:sz w:val="28"/>
          <w:szCs w:val="28"/>
          <w:lang w:eastAsia="tr-TR"/>
        </w:rPr>
        <w:t xml:space="preserve"> mali hak olarak yalnızca toplantı başına ücret (huzur hakkı) sayılırken, TTK m. 394’ün farklı kalemlerde mali haklara yer vermiş olmasıdır. Bir diğer önemli farklılık ise, </w:t>
      </w:r>
      <w:proofErr w:type="spellStart"/>
      <w:r w:rsidRPr="004A5FDB">
        <w:rPr>
          <w:rFonts w:ascii="Times New Roman" w:eastAsia="Times New Roman" w:hAnsi="Times New Roman" w:cs="Times New Roman"/>
          <w:color w:val="828282"/>
          <w:sz w:val="28"/>
          <w:szCs w:val="28"/>
          <w:lang w:eastAsia="tr-TR"/>
        </w:rPr>
        <w:t>eTK’da</w:t>
      </w:r>
      <w:proofErr w:type="spellEnd"/>
      <w:r w:rsidRPr="004A5FDB">
        <w:rPr>
          <w:rFonts w:ascii="Times New Roman" w:eastAsia="Times New Roman" w:hAnsi="Times New Roman" w:cs="Times New Roman"/>
          <w:color w:val="828282"/>
          <w:sz w:val="28"/>
          <w:szCs w:val="28"/>
          <w:lang w:eastAsia="tr-TR"/>
        </w:rPr>
        <w:t xml:space="preserve"> esas sözleşmeyle aksi kararlaştırılmadıkça huzur hakkı ödenecekken TTK m. 394 uyarınca herhangi bir mali hak tanınması için bu yönde esas sözleşme hükmü veya genel kurul kararı gerekmektedir.</w:t>
      </w:r>
    </w:p>
    <w:p w:rsidR="004A5FDB" w:rsidRDefault="004A5FDB" w:rsidP="004A5FDB">
      <w:pPr>
        <w:pStyle w:val="AralkYok"/>
        <w:jc w:val="both"/>
        <w:rPr>
          <w:rFonts w:ascii="Times New Roman" w:eastAsia="Times New Roman" w:hAnsi="Times New Roman" w:cs="Times New Roman"/>
          <w:color w:val="828282"/>
          <w:sz w:val="28"/>
          <w:szCs w:val="28"/>
          <w:lang w:eastAsia="tr-TR"/>
        </w:rPr>
      </w:pPr>
    </w:p>
    <w:p w:rsidR="004A5FDB" w:rsidRPr="004A5FDB" w:rsidRDefault="004A5FDB" w:rsidP="004A5FDB">
      <w:pPr>
        <w:pStyle w:val="AralkYok"/>
        <w:jc w:val="both"/>
        <w:rPr>
          <w:rFonts w:ascii="Times New Roman" w:eastAsia="Times New Roman" w:hAnsi="Times New Roman" w:cs="Times New Roman"/>
          <w:color w:val="828282"/>
          <w:sz w:val="28"/>
          <w:szCs w:val="28"/>
          <w:lang w:eastAsia="tr-TR"/>
        </w:rPr>
      </w:pPr>
      <w:r w:rsidRPr="004A5FDB">
        <w:rPr>
          <w:rFonts w:ascii="Times New Roman" w:eastAsia="Times New Roman" w:hAnsi="Times New Roman" w:cs="Times New Roman"/>
          <w:color w:val="828282"/>
          <w:sz w:val="28"/>
          <w:szCs w:val="28"/>
          <w:lang w:eastAsia="tr-TR"/>
        </w:rPr>
        <w:t>Söz konusu mali hakların belirlenmesinin ise genel kurulun münhasır yetkisinde olduğu, TTK m. 408/2(b) uyarınca açıkça hüküm altına alınmıştır. Devredilmez yetki olmasının bir sonucu olarak mali haklar, yönetim kurulunun kendisi tarafından belirlenemeyecektir</w:t>
      </w:r>
      <w:r>
        <w:rPr>
          <w:rFonts w:ascii="Times New Roman" w:eastAsia="Times New Roman" w:hAnsi="Times New Roman" w:cs="Times New Roman"/>
          <w:color w:val="828282"/>
          <w:sz w:val="28"/>
          <w:szCs w:val="28"/>
          <w:lang w:eastAsia="tr-TR"/>
        </w:rPr>
        <w:t xml:space="preserve"> </w:t>
      </w:r>
      <w:r w:rsidRPr="004A5FDB">
        <w:rPr>
          <w:rFonts w:ascii="Times New Roman" w:eastAsia="Times New Roman" w:hAnsi="Times New Roman" w:cs="Times New Roman"/>
          <w:color w:val="828282"/>
          <w:sz w:val="28"/>
          <w:szCs w:val="28"/>
          <w:lang w:eastAsia="tr-TR"/>
        </w:rPr>
        <w:t>genel kurul kararıyla belirlenmesi</w:t>
      </w:r>
      <w:r>
        <w:rPr>
          <w:rFonts w:ascii="Times New Roman" w:eastAsia="Times New Roman" w:hAnsi="Times New Roman" w:cs="Times New Roman"/>
          <w:color w:val="828282"/>
          <w:sz w:val="28"/>
          <w:szCs w:val="28"/>
          <w:lang w:eastAsia="tr-TR"/>
        </w:rPr>
        <w:t xml:space="preserve"> </w:t>
      </w:r>
      <w:r w:rsidRPr="004A5FDB">
        <w:rPr>
          <w:rFonts w:ascii="Times New Roman" w:eastAsia="Times New Roman" w:hAnsi="Times New Roman" w:cs="Times New Roman"/>
          <w:color w:val="828282"/>
          <w:sz w:val="28"/>
          <w:szCs w:val="28"/>
          <w:lang w:eastAsia="tr-TR"/>
        </w:rPr>
        <w:t>gerekir.</w:t>
      </w:r>
    </w:p>
    <w:p w:rsidR="004A5FDB" w:rsidRDefault="004A5FDB" w:rsidP="004A5FDB">
      <w:pPr>
        <w:pStyle w:val="AralkYok"/>
        <w:jc w:val="both"/>
        <w:rPr>
          <w:rFonts w:ascii="Times New Roman" w:eastAsia="Times New Roman" w:hAnsi="Times New Roman" w:cs="Times New Roman"/>
          <w:sz w:val="28"/>
          <w:szCs w:val="28"/>
          <w:lang w:eastAsia="tr-TR"/>
        </w:rPr>
      </w:pPr>
    </w:p>
    <w:p w:rsidR="004A5FDB" w:rsidRPr="004A5FDB" w:rsidRDefault="004A5FDB" w:rsidP="004A5FDB">
      <w:pPr>
        <w:pStyle w:val="AralkYok"/>
        <w:jc w:val="both"/>
        <w:rPr>
          <w:rFonts w:ascii="Times New Roman" w:eastAsia="Times New Roman" w:hAnsi="Times New Roman" w:cs="Times New Roman"/>
          <w:sz w:val="28"/>
          <w:szCs w:val="28"/>
          <w:lang w:eastAsia="tr-TR"/>
        </w:rPr>
      </w:pPr>
      <w:r w:rsidRPr="004A5FDB">
        <w:rPr>
          <w:rFonts w:ascii="Times New Roman" w:eastAsia="Times New Roman" w:hAnsi="Times New Roman" w:cs="Times New Roman"/>
          <w:sz w:val="28"/>
          <w:szCs w:val="28"/>
          <w:lang w:eastAsia="tr-TR"/>
        </w:rPr>
        <w:t>Örtülü Kazanç Aktarımına İlişkin TTK Düzenlemeleri</w:t>
      </w:r>
    </w:p>
    <w:p w:rsidR="004A5FDB" w:rsidRPr="004A5FDB" w:rsidRDefault="004A5FDB" w:rsidP="004A5FDB">
      <w:pPr>
        <w:pStyle w:val="AralkYok"/>
        <w:jc w:val="both"/>
        <w:rPr>
          <w:rFonts w:ascii="Times New Roman" w:eastAsia="Times New Roman" w:hAnsi="Times New Roman" w:cs="Times New Roman"/>
          <w:color w:val="828282"/>
          <w:sz w:val="28"/>
          <w:szCs w:val="28"/>
          <w:lang w:eastAsia="tr-TR"/>
        </w:rPr>
      </w:pPr>
      <w:r w:rsidRPr="004A5FDB">
        <w:rPr>
          <w:rFonts w:ascii="Times New Roman" w:eastAsia="Times New Roman" w:hAnsi="Times New Roman" w:cs="Times New Roman"/>
          <w:color w:val="828282"/>
          <w:sz w:val="28"/>
          <w:szCs w:val="28"/>
          <w:lang w:eastAsia="tr-TR"/>
        </w:rPr>
        <w:t>Örtülü kazanç aktarımının şirketler hukukundaki temel düzenlemesi, 6362 sayılı Sermaye Piyasası Kanunu (“</w:t>
      </w:r>
      <w:proofErr w:type="spellStart"/>
      <w:r w:rsidRPr="004A5FDB">
        <w:rPr>
          <w:rFonts w:ascii="Times New Roman" w:eastAsia="Times New Roman" w:hAnsi="Times New Roman" w:cs="Times New Roman"/>
          <w:color w:val="828282"/>
          <w:sz w:val="28"/>
          <w:szCs w:val="28"/>
          <w:lang w:eastAsia="tr-TR"/>
        </w:rPr>
        <w:t>SPKn</w:t>
      </w:r>
      <w:proofErr w:type="spellEnd"/>
      <w:r w:rsidRPr="004A5FDB">
        <w:rPr>
          <w:rFonts w:ascii="Times New Roman" w:eastAsia="Times New Roman" w:hAnsi="Times New Roman" w:cs="Times New Roman"/>
          <w:color w:val="828282"/>
          <w:sz w:val="28"/>
          <w:szCs w:val="28"/>
          <w:lang w:eastAsia="tr-TR"/>
        </w:rPr>
        <w:t>”) m. 21 hükmünde yer alır. Anılan hükme göre:</w:t>
      </w:r>
    </w:p>
    <w:p w:rsidR="004A5FDB" w:rsidRPr="004A5FDB" w:rsidRDefault="004A5FDB" w:rsidP="004A5FDB">
      <w:pPr>
        <w:pStyle w:val="AralkYok"/>
        <w:jc w:val="both"/>
        <w:rPr>
          <w:rFonts w:ascii="Times New Roman" w:eastAsia="Times New Roman" w:hAnsi="Times New Roman" w:cs="Times New Roman"/>
          <w:color w:val="828282"/>
          <w:sz w:val="28"/>
          <w:szCs w:val="28"/>
          <w:lang w:eastAsia="tr-TR"/>
        </w:rPr>
      </w:pPr>
      <w:proofErr w:type="gramStart"/>
      <w:r w:rsidRPr="004A5FDB">
        <w:rPr>
          <w:rFonts w:ascii="Times New Roman" w:eastAsia="Times New Roman" w:hAnsi="Times New Roman" w:cs="Times New Roman"/>
          <w:i/>
          <w:iCs/>
          <w:color w:val="828282"/>
          <w:sz w:val="28"/>
          <w:szCs w:val="28"/>
          <w:lang w:eastAsia="tr-TR"/>
        </w:rPr>
        <w:lastRenderedPageBreak/>
        <w:t>“Halka açık ortaklıklar ve kolektif yatırım kuruluşları ile bunların iştirak ve bağlı ortaklıklarının; yönetim, denetim veya sermaye bakımından doğrudan veya dolaylı olarak ilişkide bulundukları gerçek veya tüzel kişiler ile emsallerine uygunluk, piyasa teamülleri, ticari hayatın basiret ve dürüstlük ilkelerine aykırı olarak farklı fiyat, ücret, bedel veya şartlar içeren anlaşmalar veya ticari uygulamalar yapmak veya işlem hacmi üretmek gibi işlemlerde bulunmak suretiyle kârlarını veya malvarlıklarını azaltarak veya kârlarının veya malvarlıklarının artmasını engelleyerek kazanç aktarımında bulunmaları yasaktır.”</w:t>
      </w:r>
      <w:proofErr w:type="gramEnd"/>
    </w:p>
    <w:p w:rsidR="004A5FDB" w:rsidRDefault="004A5FDB" w:rsidP="004A5FDB">
      <w:pPr>
        <w:pStyle w:val="AralkYok"/>
        <w:jc w:val="both"/>
        <w:rPr>
          <w:rFonts w:ascii="Times New Roman" w:eastAsia="Times New Roman" w:hAnsi="Times New Roman" w:cs="Times New Roman"/>
          <w:color w:val="828282"/>
          <w:sz w:val="28"/>
          <w:szCs w:val="28"/>
          <w:lang w:eastAsia="tr-TR"/>
        </w:rPr>
      </w:pPr>
    </w:p>
    <w:p w:rsidR="004A5FDB" w:rsidRPr="004A5FDB" w:rsidRDefault="004A5FDB" w:rsidP="004A5FDB">
      <w:pPr>
        <w:pStyle w:val="AralkYok"/>
        <w:jc w:val="both"/>
        <w:rPr>
          <w:rFonts w:ascii="Times New Roman" w:eastAsia="Times New Roman" w:hAnsi="Times New Roman" w:cs="Times New Roman"/>
          <w:color w:val="828282"/>
          <w:sz w:val="28"/>
          <w:szCs w:val="28"/>
          <w:lang w:eastAsia="tr-TR"/>
        </w:rPr>
      </w:pPr>
      <w:proofErr w:type="spellStart"/>
      <w:r w:rsidRPr="004A5FDB">
        <w:rPr>
          <w:rFonts w:ascii="Times New Roman" w:eastAsia="Times New Roman" w:hAnsi="Times New Roman" w:cs="Times New Roman"/>
          <w:color w:val="828282"/>
          <w:sz w:val="28"/>
          <w:szCs w:val="28"/>
          <w:lang w:eastAsia="tr-TR"/>
        </w:rPr>
        <w:t>SPKn</w:t>
      </w:r>
      <w:proofErr w:type="spellEnd"/>
      <w:r w:rsidRPr="004A5FDB">
        <w:rPr>
          <w:rFonts w:ascii="Times New Roman" w:eastAsia="Times New Roman" w:hAnsi="Times New Roman" w:cs="Times New Roman"/>
          <w:color w:val="828282"/>
          <w:sz w:val="28"/>
          <w:szCs w:val="28"/>
          <w:lang w:eastAsia="tr-TR"/>
        </w:rPr>
        <w:t xml:space="preserve"> m. 21’in uygulama alanındaki anonim şirketlerin halka açık ortaklıklar ve bunların iştirak ve bağlı ortaklıklarıdır. Kapalı anonim şirketlere ilişkin düzenlemelerin yer aldığı TTK ise örtülü kazanç aktarımına ilişkin açık bir düzenleme içermez. Bununla birlikte, örtülü kazanç aktarımının </w:t>
      </w:r>
      <w:proofErr w:type="spellStart"/>
      <w:r w:rsidRPr="004A5FDB">
        <w:rPr>
          <w:rFonts w:ascii="Times New Roman" w:eastAsia="Times New Roman" w:hAnsi="Times New Roman" w:cs="Times New Roman"/>
          <w:color w:val="828282"/>
          <w:sz w:val="28"/>
          <w:szCs w:val="28"/>
          <w:lang w:eastAsia="tr-TR"/>
        </w:rPr>
        <w:t>TTK’da</w:t>
      </w:r>
      <w:proofErr w:type="spellEnd"/>
      <w:r w:rsidRPr="004A5FDB">
        <w:rPr>
          <w:rFonts w:ascii="Times New Roman" w:eastAsia="Times New Roman" w:hAnsi="Times New Roman" w:cs="Times New Roman"/>
          <w:color w:val="828282"/>
          <w:sz w:val="28"/>
          <w:szCs w:val="28"/>
          <w:lang w:eastAsia="tr-TR"/>
        </w:rPr>
        <w:t xml:space="preserve"> örtülü kazanç aktarımının yasaklanması sonucu doğuracak ilkelerin, mekanizmaların mümkün olup olmadığını anlamak için </w:t>
      </w:r>
      <w:proofErr w:type="spellStart"/>
      <w:r w:rsidRPr="004A5FDB">
        <w:rPr>
          <w:rFonts w:ascii="Times New Roman" w:eastAsia="Times New Roman" w:hAnsi="Times New Roman" w:cs="Times New Roman"/>
          <w:color w:val="828282"/>
          <w:sz w:val="28"/>
          <w:szCs w:val="28"/>
          <w:lang w:eastAsia="tr-TR"/>
        </w:rPr>
        <w:t>SPKn</w:t>
      </w:r>
      <w:proofErr w:type="spellEnd"/>
      <w:r w:rsidRPr="004A5FDB">
        <w:rPr>
          <w:rFonts w:ascii="Times New Roman" w:eastAsia="Times New Roman" w:hAnsi="Times New Roman" w:cs="Times New Roman"/>
          <w:color w:val="828282"/>
          <w:sz w:val="28"/>
          <w:szCs w:val="28"/>
          <w:lang w:eastAsia="tr-TR"/>
        </w:rPr>
        <w:t xml:space="preserve"> m. 21 düzenlemesi </w:t>
      </w:r>
      <w:proofErr w:type="spellStart"/>
      <w:r w:rsidRPr="004A5FDB">
        <w:rPr>
          <w:rFonts w:ascii="Times New Roman" w:eastAsia="Times New Roman" w:hAnsi="Times New Roman" w:cs="Times New Roman"/>
          <w:color w:val="828282"/>
          <w:sz w:val="28"/>
          <w:szCs w:val="28"/>
          <w:lang w:eastAsia="tr-TR"/>
        </w:rPr>
        <w:t>ratio</w:t>
      </w:r>
      <w:proofErr w:type="spellEnd"/>
      <w:r w:rsidRPr="004A5FDB">
        <w:rPr>
          <w:rFonts w:ascii="Times New Roman" w:eastAsia="Times New Roman" w:hAnsi="Times New Roman" w:cs="Times New Roman"/>
          <w:color w:val="828282"/>
          <w:sz w:val="28"/>
          <w:szCs w:val="28"/>
          <w:lang w:eastAsia="tr-TR"/>
        </w:rPr>
        <w:t xml:space="preserve"> </w:t>
      </w:r>
      <w:proofErr w:type="spellStart"/>
      <w:r w:rsidRPr="004A5FDB">
        <w:rPr>
          <w:rFonts w:ascii="Times New Roman" w:eastAsia="Times New Roman" w:hAnsi="Times New Roman" w:cs="Times New Roman"/>
          <w:color w:val="828282"/>
          <w:sz w:val="28"/>
          <w:szCs w:val="28"/>
          <w:lang w:eastAsia="tr-TR"/>
        </w:rPr>
        <w:t>legis</w:t>
      </w:r>
      <w:proofErr w:type="spellEnd"/>
      <w:r w:rsidRPr="004A5FDB">
        <w:rPr>
          <w:rFonts w:ascii="Times New Roman" w:eastAsia="Times New Roman" w:hAnsi="Times New Roman" w:cs="Times New Roman"/>
          <w:color w:val="828282"/>
          <w:sz w:val="28"/>
          <w:szCs w:val="28"/>
          <w:lang w:eastAsia="tr-TR"/>
        </w:rPr>
        <w:t xml:space="preserve"> yönünden incelenebilir. Doktrinde, örtülü kazanç aktarımının yasaklanmasıyla hedeflenenin, şirket malvarlığının ilişkili tarafa aktarılmasının engellenmesi olduğu</w:t>
      </w:r>
      <w:r>
        <w:rPr>
          <w:rFonts w:ascii="Times New Roman" w:eastAsia="Times New Roman" w:hAnsi="Times New Roman" w:cs="Times New Roman"/>
          <w:color w:val="828282"/>
          <w:sz w:val="28"/>
          <w:szCs w:val="28"/>
          <w:lang w:eastAsia="tr-TR"/>
        </w:rPr>
        <w:t xml:space="preserve"> </w:t>
      </w:r>
      <w:r w:rsidRPr="004A5FDB">
        <w:rPr>
          <w:rFonts w:ascii="Times New Roman" w:eastAsia="Times New Roman" w:hAnsi="Times New Roman" w:cs="Times New Roman"/>
          <w:color w:val="828282"/>
          <w:sz w:val="28"/>
          <w:szCs w:val="28"/>
          <w:lang w:eastAsia="tr-TR"/>
        </w:rPr>
        <w:t>kabul edilir.</w:t>
      </w:r>
    </w:p>
    <w:p w:rsidR="004A5FDB" w:rsidRDefault="004A5FDB" w:rsidP="004A5FDB">
      <w:pPr>
        <w:pStyle w:val="AralkYok"/>
        <w:jc w:val="both"/>
        <w:rPr>
          <w:rFonts w:ascii="Times New Roman" w:eastAsia="Times New Roman" w:hAnsi="Times New Roman" w:cs="Times New Roman"/>
          <w:color w:val="828282"/>
          <w:sz w:val="28"/>
          <w:szCs w:val="28"/>
          <w:lang w:eastAsia="tr-TR"/>
        </w:rPr>
      </w:pPr>
    </w:p>
    <w:p w:rsidR="004A5FDB" w:rsidRPr="004A5FDB" w:rsidRDefault="004A5FDB" w:rsidP="004A5FDB">
      <w:pPr>
        <w:pStyle w:val="AralkYok"/>
        <w:jc w:val="both"/>
        <w:rPr>
          <w:rFonts w:ascii="Times New Roman" w:eastAsia="Times New Roman" w:hAnsi="Times New Roman" w:cs="Times New Roman"/>
          <w:color w:val="828282"/>
          <w:sz w:val="28"/>
          <w:szCs w:val="28"/>
          <w:lang w:eastAsia="tr-TR"/>
        </w:rPr>
      </w:pPr>
      <w:r w:rsidRPr="004A5FDB">
        <w:rPr>
          <w:rFonts w:ascii="Times New Roman" w:eastAsia="Times New Roman" w:hAnsi="Times New Roman" w:cs="Times New Roman"/>
          <w:color w:val="828282"/>
          <w:sz w:val="28"/>
          <w:szCs w:val="28"/>
          <w:lang w:eastAsia="tr-TR"/>
        </w:rPr>
        <w:t>Belirtmek gerekir ki, örtülü kazanç aktarımı, pay sahipleri, yöneticiler veya diğer ilişkili üçüncü kişilere yönelik uygulama alanı bulan bir kurumdur.</w:t>
      </w:r>
      <w:r>
        <w:rPr>
          <w:rFonts w:ascii="Times New Roman" w:eastAsia="Times New Roman" w:hAnsi="Times New Roman" w:cs="Times New Roman"/>
          <w:color w:val="828282"/>
          <w:sz w:val="28"/>
          <w:szCs w:val="28"/>
          <w:lang w:eastAsia="tr-TR"/>
        </w:rPr>
        <w:t xml:space="preserve"> </w:t>
      </w:r>
      <w:r w:rsidRPr="004A5FDB">
        <w:rPr>
          <w:rFonts w:ascii="Times New Roman" w:eastAsia="Times New Roman" w:hAnsi="Times New Roman" w:cs="Times New Roman"/>
          <w:color w:val="828282"/>
          <w:sz w:val="28"/>
          <w:szCs w:val="28"/>
          <w:lang w:eastAsia="tr-TR"/>
        </w:rPr>
        <w:t xml:space="preserve"> Yönetim kuruluna tanınan mali haklardaki görünümün ötesinde, peçelenmiş ödemeler ve asimetrik hukuki işlemler başta olmak üzere geniş bir yelpazeyi kapsar. Bu nedenle </w:t>
      </w:r>
      <w:proofErr w:type="spellStart"/>
      <w:r w:rsidRPr="004A5FDB">
        <w:rPr>
          <w:rFonts w:ascii="Times New Roman" w:eastAsia="Times New Roman" w:hAnsi="Times New Roman" w:cs="Times New Roman"/>
          <w:color w:val="828282"/>
          <w:sz w:val="28"/>
          <w:szCs w:val="28"/>
          <w:lang w:eastAsia="tr-TR"/>
        </w:rPr>
        <w:t>TTK’daki</w:t>
      </w:r>
      <w:proofErr w:type="spellEnd"/>
      <w:r w:rsidRPr="004A5FDB">
        <w:rPr>
          <w:rFonts w:ascii="Times New Roman" w:eastAsia="Times New Roman" w:hAnsi="Times New Roman" w:cs="Times New Roman"/>
          <w:color w:val="828282"/>
          <w:sz w:val="28"/>
          <w:szCs w:val="28"/>
          <w:lang w:eastAsia="tr-TR"/>
        </w:rPr>
        <w:t xml:space="preserve"> çok sayıda hüküm ve ilkeyle ilişkili olduğu belirtilebilir, fakat bu çalışmanın ana konusu aşağıda aktarılacak Yargıtay kararı çerçevesinde yönetim kurulu üyelerinin mali haklarının örtülü kazanç aktarımı olarak değerlendirmesi olması sebebiyle, açıklanan görünüm çerçevesinde sermayenin korunması ilkesi ve eşit işlem ilkesinin kısaca açıklanmasında fayda vardır.</w:t>
      </w:r>
    </w:p>
    <w:p w:rsidR="004A5FDB" w:rsidRDefault="004A5FDB" w:rsidP="004A5FDB">
      <w:pPr>
        <w:pStyle w:val="AralkYok"/>
        <w:jc w:val="both"/>
        <w:rPr>
          <w:rFonts w:ascii="Times New Roman" w:eastAsia="Times New Roman" w:hAnsi="Times New Roman" w:cs="Times New Roman"/>
          <w:color w:val="828282"/>
          <w:sz w:val="28"/>
          <w:szCs w:val="28"/>
          <w:lang w:eastAsia="tr-TR"/>
        </w:rPr>
      </w:pPr>
    </w:p>
    <w:p w:rsidR="004A5FDB" w:rsidRPr="004A5FDB" w:rsidRDefault="004A5FDB" w:rsidP="004A5FDB">
      <w:pPr>
        <w:pStyle w:val="AralkYok"/>
        <w:jc w:val="both"/>
        <w:rPr>
          <w:rFonts w:ascii="Times New Roman" w:eastAsia="Times New Roman" w:hAnsi="Times New Roman" w:cs="Times New Roman"/>
          <w:color w:val="828282"/>
          <w:sz w:val="28"/>
          <w:szCs w:val="28"/>
          <w:lang w:eastAsia="tr-TR"/>
        </w:rPr>
      </w:pPr>
      <w:proofErr w:type="spellStart"/>
      <w:r w:rsidRPr="004A5FDB">
        <w:rPr>
          <w:rFonts w:ascii="Times New Roman" w:eastAsia="Times New Roman" w:hAnsi="Times New Roman" w:cs="Times New Roman"/>
          <w:color w:val="828282"/>
          <w:sz w:val="28"/>
          <w:szCs w:val="28"/>
          <w:lang w:eastAsia="tr-TR"/>
        </w:rPr>
        <w:t>TTK’nın</w:t>
      </w:r>
      <w:proofErr w:type="spellEnd"/>
      <w:r w:rsidRPr="004A5FDB">
        <w:rPr>
          <w:rFonts w:ascii="Times New Roman" w:eastAsia="Times New Roman" w:hAnsi="Times New Roman" w:cs="Times New Roman"/>
          <w:color w:val="828282"/>
          <w:sz w:val="28"/>
          <w:szCs w:val="28"/>
          <w:lang w:eastAsia="tr-TR"/>
        </w:rPr>
        <w:t xml:space="preserve"> şirketler hukukundaki temel ilkeleri arasında yer alan sermayenin korunması </w:t>
      </w:r>
      <w:proofErr w:type="spellStart"/>
      <w:r w:rsidRPr="004A5FDB">
        <w:rPr>
          <w:rFonts w:ascii="Times New Roman" w:eastAsia="Times New Roman" w:hAnsi="Times New Roman" w:cs="Times New Roman"/>
          <w:color w:val="828282"/>
          <w:sz w:val="28"/>
          <w:szCs w:val="28"/>
          <w:lang w:eastAsia="tr-TR"/>
        </w:rPr>
        <w:t>ilkesiörtülü</w:t>
      </w:r>
      <w:proofErr w:type="spellEnd"/>
      <w:r w:rsidRPr="004A5FDB">
        <w:rPr>
          <w:rFonts w:ascii="Times New Roman" w:eastAsia="Times New Roman" w:hAnsi="Times New Roman" w:cs="Times New Roman"/>
          <w:color w:val="828282"/>
          <w:sz w:val="28"/>
          <w:szCs w:val="28"/>
          <w:lang w:eastAsia="tr-TR"/>
        </w:rPr>
        <w:t xml:space="preserve"> kazanç aktarımının yasaklanmasıyla amaçlanan hukuki faydayı da kapsayan bir koruma alanı sunar. Doğal olarak sermayenin korunması ilkesi, </w:t>
      </w:r>
      <w:r>
        <w:rPr>
          <w:rFonts w:ascii="Times New Roman" w:eastAsia="Times New Roman" w:hAnsi="Times New Roman" w:cs="Times New Roman"/>
          <w:color w:val="828282"/>
          <w:sz w:val="28"/>
          <w:szCs w:val="28"/>
          <w:lang w:eastAsia="tr-TR"/>
        </w:rPr>
        <w:t xml:space="preserve"> </w:t>
      </w:r>
      <w:r w:rsidRPr="004A5FDB">
        <w:rPr>
          <w:rFonts w:ascii="Times New Roman" w:eastAsia="Times New Roman" w:hAnsi="Times New Roman" w:cs="Times New Roman"/>
          <w:color w:val="828282"/>
          <w:sz w:val="28"/>
          <w:szCs w:val="28"/>
          <w:lang w:eastAsia="tr-TR"/>
        </w:rPr>
        <w:t>TTK m. 480/3’te somutlaşan sermayenin iadesi yasağını da kapsar ve peçelenmiş ödemeler yoluyla yapılan kazanç dağıtımını engellemeyi amaçlar. Bu tür ödemelere ilişkin karşılaştırmalı hukuktan referans bir karar, Michigan İstinaf Mahkemesi’nin 1975 yılında verdiği </w:t>
      </w:r>
      <w:proofErr w:type="spellStart"/>
      <w:r w:rsidRPr="004A5FDB">
        <w:rPr>
          <w:rFonts w:ascii="Times New Roman" w:eastAsia="Times New Roman" w:hAnsi="Times New Roman" w:cs="Times New Roman"/>
          <w:i/>
          <w:iCs/>
          <w:color w:val="828282"/>
          <w:sz w:val="28"/>
          <w:szCs w:val="28"/>
          <w:lang w:eastAsia="tr-TR"/>
        </w:rPr>
        <w:t>Erdman</w:t>
      </w:r>
      <w:proofErr w:type="spellEnd"/>
      <w:r w:rsidRPr="004A5FDB">
        <w:rPr>
          <w:rFonts w:ascii="Times New Roman" w:eastAsia="Times New Roman" w:hAnsi="Times New Roman" w:cs="Times New Roman"/>
          <w:i/>
          <w:iCs/>
          <w:color w:val="828282"/>
          <w:sz w:val="28"/>
          <w:szCs w:val="28"/>
          <w:lang w:eastAsia="tr-TR"/>
        </w:rPr>
        <w:t xml:space="preserve"> v. </w:t>
      </w:r>
      <w:proofErr w:type="spellStart"/>
      <w:r w:rsidRPr="004A5FDB">
        <w:rPr>
          <w:rFonts w:ascii="Times New Roman" w:eastAsia="Times New Roman" w:hAnsi="Times New Roman" w:cs="Times New Roman"/>
          <w:i/>
          <w:iCs/>
          <w:color w:val="828282"/>
          <w:sz w:val="28"/>
          <w:szCs w:val="28"/>
          <w:lang w:eastAsia="tr-TR"/>
        </w:rPr>
        <w:t>Yolles</w:t>
      </w:r>
      <w:proofErr w:type="spellEnd"/>
      <w:r w:rsidRPr="004A5FDB">
        <w:rPr>
          <w:rFonts w:ascii="Times New Roman" w:eastAsia="Times New Roman" w:hAnsi="Times New Roman" w:cs="Times New Roman"/>
          <w:i/>
          <w:iCs/>
          <w:color w:val="828282"/>
          <w:sz w:val="28"/>
          <w:szCs w:val="28"/>
          <w:lang w:eastAsia="tr-TR"/>
        </w:rPr>
        <w:t> </w:t>
      </w:r>
      <w:r w:rsidRPr="004A5FDB">
        <w:rPr>
          <w:rFonts w:ascii="Times New Roman" w:eastAsia="Times New Roman" w:hAnsi="Times New Roman" w:cs="Times New Roman"/>
          <w:color w:val="828282"/>
          <w:sz w:val="28"/>
          <w:szCs w:val="28"/>
          <w:lang w:eastAsia="tr-TR"/>
        </w:rPr>
        <w:t xml:space="preserve">kararıdır. Mahkeme, şirket aktiflerinin satılarak elde edilen nakdin, maaş artışı adıyla şirkette çalışan pay sahiplerine dağıtılmasının, farklı ad altında yapılmış da olsa, peçelenmiş bir kar payı olduğuna karar vermiştir. </w:t>
      </w:r>
    </w:p>
    <w:p w:rsidR="004A5FDB" w:rsidRDefault="004A5FDB" w:rsidP="004A5FDB">
      <w:pPr>
        <w:pStyle w:val="AralkYok"/>
        <w:jc w:val="both"/>
        <w:rPr>
          <w:rFonts w:ascii="Times New Roman" w:eastAsia="Times New Roman" w:hAnsi="Times New Roman" w:cs="Times New Roman"/>
          <w:color w:val="828282"/>
          <w:sz w:val="28"/>
          <w:szCs w:val="28"/>
          <w:lang w:eastAsia="tr-TR"/>
        </w:rPr>
      </w:pPr>
    </w:p>
    <w:p w:rsidR="004A5FDB" w:rsidRPr="004A5FDB" w:rsidRDefault="004A5FDB" w:rsidP="004A5FDB">
      <w:pPr>
        <w:pStyle w:val="AralkYok"/>
        <w:jc w:val="both"/>
        <w:rPr>
          <w:rFonts w:ascii="Times New Roman" w:eastAsia="Times New Roman" w:hAnsi="Times New Roman" w:cs="Times New Roman"/>
          <w:color w:val="828282"/>
          <w:sz w:val="28"/>
          <w:szCs w:val="28"/>
          <w:lang w:eastAsia="tr-TR"/>
        </w:rPr>
      </w:pPr>
      <w:r w:rsidRPr="004A5FDB">
        <w:rPr>
          <w:rFonts w:ascii="Times New Roman" w:eastAsia="Times New Roman" w:hAnsi="Times New Roman" w:cs="Times New Roman"/>
          <w:color w:val="828282"/>
          <w:sz w:val="28"/>
          <w:szCs w:val="28"/>
          <w:lang w:eastAsia="tr-TR"/>
        </w:rPr>
        <w:lastRenderedPageBreak/>
        <w:t>Aynı zamanda şirket paylarının önemli bir kısmını elinde bulunduran yönetim kurulu üyelerine tanınan mali haklar konusunda tartışılabilecek bir diğer ilke, TTK m. 357’de somutlaşan eşit işlem ilkesidir.</w:t>
      </w:r>
      <w:r>
        <w:rPr>
          <w:rFonts w:ascii="Times New Roman" w:eastAsia="Times New Roman" w:hAnsi="Times New Roman" w:cs="Times New Roman"/>
          <w:color w:val="828282"/>
          <w:sz w:val="28"/>
          <w:szCs w:val="28"/>
          <w:lang w:eastAsia="tr-TR"/>
        </w:rPr>
        <w:t xml:space="preserve"> </w:t>
      </w:r>
      <w:r w:rsidRPr="004A5FDB">
        <w:rPr>
          <w:rFonts w:ascii="Times New Roman" w:eastAsia="Times New Roman" w:hAnsi="Times New Roman" w:cs="Times New Roman"/>
          <w:color w:val="828282"/>
          <w:sz w:val="28"/>
          <w:szCs w:val="28"/>
          <w:vertAlign w:val="superscript"/>
          <w:lang w:eastAsia="tr-TR"/>
        </w:rPr>
        <w:t> </w:t>
      </w:r>
      <w:r w:rsidRPr="004A5FDB">
        <w:rPr>
          <w:rFonts w:ascii="Times New Roman" w:eastAsia="Times New Roman" w:hAnsi="Times New Roman" w:cs="Times New Roman"/>
          <w:color w:val="828282"/>
          <w:sz w:val="28"/>
          <w:szCs w:val="28"/>
          <w:lang w:eastAsia="tr-TR"/>
        </w:rPr>
        <w:t xml:space="preserve">Anılan ilke, eşit şartlardaki pay sahiplerinin eşit şartlara tabi tutulmasını gerektirir. Her ne kadar ilkenin, kural olarak, kapsamı pay sahibinin bu sıfatlarıyla hukuki ilişkinin tarafı olduğu işlemler olduğu kabul edilse de, (örtülü veya doğrudan) kar payı dağıtımlarının sermayeye katılım (veya imtiyazlar) oranında yapılmadığı durumlarda, eşit işlem ilkesine aykırılık gündeme gelebilecektir. </w:t>
      </w:r>
    </w:p>
    <w:p w:rsidR="004A5FDB" w:rsidRDefault="004A5FDB" w:rsidP="004A5FDB">
      <w:pPr>
        <w:pStyle w:val="AralkYok"/>
        <w:jc w:val="both"/>
        <w:rPr>
          <w:rFonts w:ascii="Times New Roman" w:eastAsia="Times New Roman" w:hAnsi="Times New Roman" w:cs="Times New Roman"/>
          <w:color w:val="828282"/>
          <w:sz w:val="28"/>
          <w:szCs w:val="28"/>
          <w:lang w:eastAsia="tr-TR"/>
        </w:rPr>
      </w:pPr>
    </w:p>
    <w:p w:rsidR="004A5FDB" w:rsidRPr="004A5FDB" w:rsidRDefault="004A5FDB" w:rsidP="004A5FDB">
      <w:pPr>
        <w:pStyle w:val="AralkYok"/>
        <w:jc w:val="both"/>
        <w:rPr>
          <w:rFonts w:ascii="Times New Roman" w:eastAsia="Times New Roman" w:hAnsi="Times New Roman" w:cs="Times New Roman"/>
          <w:color w:val="828282"/>
          <w:sz w:val="28"/>
          <w:szCs w:val="28"/>
          <w:lang w:eastAsia="tr-TR"/>
        </w:rPr>
      </w:pPr>
      <w:r w:rsidRPr="004A5FDB">
        <w:rPr>
          <w:rFonts w:ascii="Times New Roman" w:eastAsia="Times New Roman" w:hAnsi="Times New Roman" w:cs="Times New Roman"/>
          <w:color w:val="828282"/>
          <w:sz w:val="28"/>
          <w:szCs w:val="28"/>
          <w:lang w:eastAsia="tr-TR"/>
        </w:rPr>
        <w:t>Son olarak, temel ilke niteliği haiz ve asıl olarak 4721 sayılı Türk Medeni Kanunu m. 2’de düzenlenen dürüstlük kuralı, TTK m. 445 uyarınca genel kurul kararlarının iptal nedenleri arasında sayılır. Buna göre, kanuna veya esas sözleşmeye aykırılığın haricinde, dürüstlük kuralına aykırı genel kurul kararları iptal müeyyidesine tabi olabilecektir.</w:t>
      </w:r>
    </w:p>
    <w:p w:rsidR="004A5FDB" w:rsidRDefault="004A5FDB" w:rsidP="004A5FDB">
      <w:pPr>
        <w:pStyle w:val="AralkYok"/>
        <w:jc w:val="both"/>
        <w:rPr>
          <w:rFonts w:ascii="Times New Roman" w:eastAsia="Times New Roman" w:hAnsi="Times New Roman" w:cs="Times New Roman"/>
          <w:sz w:val="28"/>
          <w:szCs w:val="28"/>
          <w:lang w:eastAsia="tr-TR"/>
        </w:rPr>
      </w:pPr>
    </w:p>
    <w:p w:rsidR="004A5FDB" w:rsidRPr="004A5FDB" w:rsidRDefault="004A5FDB" w:rsidP="004A5FDB">
      <w:pPr>
        <w:pStyle w:val="AralkYok"/>
        <w:jc w:val="both"/>
        <w:rPr>
          <w:rFonts w:ascii="Times New Roman" w:eastAsia="Times New Roman" w:hAnsi="Times New Roman" w:cs="Times New Roman"/>
          <w:sz w:val="28"/>
          <w:szCs w:val="28"/>
          <w:lang w:eastAsia="tr-TR"/>
        </w:rPr>
      </w:pPr>
      <w:r w:rsidRPr="004A5FDB">
        <w:rPr>
          <w:rFonts w:ascii="Times New Roman" w:eastAsia="Times New Roman" w:hAnsi="Times New Roman" w:cs="Times New Roman"/>
          <w:sz w:val="28"/>
          <w:szCs w:val="28"/>
          <w:lang w:eastAsia="tr-TR"/>
        </w:rPr>
        <w:t>Yargıtay’ın 16.11.2021 Tarihli Kararı</w:t>
      </w:r>
    </w:p>
    <w:p w:rsidR="004A5FDB" w:rsidRPr="004A5FDB" w:rsidRDefault="004A5FDB" w:rsidP="004A5FDB">
      <w:pPr>
        <w:pStyle w:val="AralkYok"/>
        <w:jc w:val="both"/>
        <w:rPr>
          <w:rFonts w:ascii="Times New Roman" w:eastAsia="Times New Roman" w:hAnsi="Times New Roman" w:cs="Times New Roman"/>
          <w:color w:val="828282"/>
          <w:sz w:val="28"/>
          <w:szCs w:val="28"/>
          <w:lang w:eastAsia="tr-TR"/>
        </w:rPr>
      </w:pPr>
      <w:proofErr w:type="gramStart"/>
      <w:r w:rsidRPr="004A5FDB">
        <w:rPr>
          <w:rFonts w:ascii="Times New Roman" w:eastAsia="Times New Roman" w:hAnsi="Times New Roman" w:cs="Times New Roman"/>
          <w:color w:val="828282"/>
          <w:sz w:val="28"/>
          <w:szCs w:val="28"/>
          <w:lang w:eastAsia="tr-TR"/>
        </w:rPr>
        <w:t>Yargıtay 11. Hukuk Dairesi’nin E. 2020/5842, K. 2021/6256 sayılı ve 16.11.2021 tarihli kararı ile onanan İstanbul 14. Bölge Adliye Mahkemesi’nin (“Mahkeme”) E. 2020/567, K. 2020/593 sayılı ve 17.06.2020 tarihli kararında</w:t>
      </w:r>
      <w:hyperlink r:id="rId4" w:anchor="_edn11" w:tgtFrame="_blank" w:history="1">
        <w:r w:rsidRPr="004A5FDB">
          <w:rPr>
            <w:rFonts w:ascii="Times New Roman" w:eastAsia="Times New Roman" w:hAnsi="Times New Roman" w:cs="Times New Roman"/>
            <w:sz w:val="28"/>
            <w:szCs w:val="28"/>
            <w:u w:val="single"/>
            <w:vertAlign w:val="superscript"/>
            <w:lang w:eastAsia="tr-TR"/>
          </w:rPr>
          <w:t>[11]</w:t>
        </w:r>
      </w:hyperlink>
      <w:r w:rsidRPr="004A5FDB">
        <w:rPr>
          <w:rFonts w:ascii="Times New Roman" w:eastAsia="Times New Roman" w:hAnsi="Times New Roman" w:cs="Times New Roman"/>
          <w:color w:val="828282"/>
          <w:sz w:val="28"/>
          <w:szCs w:val="28"/>
          <w:lang w:eastAsia="tr-TR"/>
        </w:rPr>
        <w:t> (“Karar”) yönetim kurulu üyelerine belirlenen mali hakların örtülü kazanç aktarımı teşkil etmesi nedeniyle dürüstlük kuralına aykırı olduğu karara bağlanmış ve ilgili genel kurul kararının iptali talebiyle açılan dava kabul edilmiştir.</w:t>
      </w:r>
      <w:proofErr w:type="gramEnd"/>
    </w:p>
    <w:p w:rsidR="004A5FDB" w:rsidRDefault="004A5FDB" w:rsidP="004A5FDB">
      <w:pPr>
        <w:pStyle w:val="AralkYok"/>
        <w:jc w:val="both"/>
        <w:rPr>
          <w:rFonts w:ascii="Times New Roman" w:eastAsia="Times New Roman" w:hAnsi="Times New Roman" w:cs="Times New Roman"/>
          <w:color w:val="828282"/>
          <w:sz w:val="28"/>
          <w:szCs w:val="28"/>
          <w:lang w:eastAsia="tr-TR"/>
        </w:rPr>
      </w:pPr>
    </w:p>
    <w:p w:rsidR="004A5FDB" w:rsidRPr="004A5FDB" w:rsidRDefault="004A5FDB" w:rsidP="004A5FDB">
      <w:pPr>
        <w:pStyle w:val="AralkYok"/>
        <w:jc w:val="both"/>
        <w:rPr>
          <w:rFonts w:ascii="Times New Roman" w:eastAsia="Times New Roman" w:hAnsi="Times New Roman" w:cs="Times New Roman"/>
          <w:color w:val="828282"/>
          <w:sz w:val="28"/>
          <w:szCs w:val="28"/>
          <w:lang w:eastAsia="tr-TR"/>
        </w:rPr>
      </w:pPr>
      <w:r w:rsidRPr="004A5FDB">
        <w:rPr>
          <w:rFonts w:ascii="Times New Roman" w:eastAsia="Times New Roman" w:hAnsi="Times New Roman" w:cs="Times New Roman"/>
          <w:color w:val="828282"/>
          <w:sz w:val="28"/>
          <w:szCs w:val="28"/>
          <w:lang w:eastAsia="tr-TR"/>
        </w:rPr>
        <w:t>Karar’a konu maddi vakıa, aile şirketi olduğu anlaşılan bir anonim şirkette, Karar’ın davacısı olan pay sahibinin yeni yönetim kuruluna seçilmemesi sonrasında yapılan 16.01.2015 tarihli genel kurul toplantısında alınan karara ilişkindir. Olayda, yeni yönetim kurulu üyelerinden, aynı zamanda çoğunluk pay sahibi olan iki üye için (huzur hakkı ve ücret toplamı) aylık net 75.000 TL mali hak belirlenmiştir. Davacı, özetle, belirlenen miktarın fahiş olduğunu, aynı zamanda pay sahibi olan üyelere yapılacak ödemenin kişisel menfaate yönelik olduğunu, azlık pay sahibi zararına ve dürüstlük kuralına aykırı bir karar olduğunu iddia etmiştir.</w:t>
      </w:r>
    </w:p>
    <w:p w:rsidR="004A5FDB" w:rsidRDefault="004A5FDB" w:rsidP="004A5FDB">
      <w:pPr>
        <w:pStyle w:val="AralkYok"/>
        <w:jc w:val="both"/>
        <w:rPr>
          <w:rFonts w:ascii="Times New Roman" w:eastAsia="Times New Roman" w:hAnsi="Times New Roman" w:cs="Times New Roman"/>
          <w:color w:val="828282"/>
          <w:sz w:val="28"/>
          <w:szCs w:val="28"/>
          <w:lang w:eastAsia="tr-TR"/>
        </w:rPr>
      </w:pPr>
    </w:p>
    <w:p w:rsidR="004A5FDB" w:rsidRPr="004A5FDB" w:rsidRDefault="004A5FDB" w:rsidP="004A5FDB">
      <w:pPr>
        <w:pStyle w:val="AralkYok"/>
        <w:jc w:val="both"/>
        <w:rPr>
          <w:rFonts w:ascii="Times New Roman" w:eastAsia="Times New Roman" w:hAnsi="Times New Roman" w:cs="Times New Roman"/>
          <w:color w:val="828282"/>
          <w:sz w:val="28"/>
          <w:szCs w:val="28"/>
          <w:lang w:eastAsia="tr-TR"/>
        </w:rPr>
      </w:pPr>
      <w:r w:rsidRPr="004A5FDB">
        <w:rPr>
          <w:rFonts w:ascii="Times New Roman" w:eastAsia="Times New Roman" w:hAnsi="Times New Roman" w:cs="Times New Roman"/>
          <w:color w:val="828282"/>
          <w:sz w:val="28"/>
          <w:szCs w:val="28"/>
          <w:lang w:eastAsia="tr-TR"/>
        </w:rPr>
        <w:t>Mahkeme, davacının iddialarını kabul ederek, örtülü kazanç aktarımı sonucu yaratacak genel kurul kararını dürüstlük kuralına aykırı bulmuştur. Mahkeme, incelemesinde, huzur hakkı ve ücretin belirlenmesi bakımından </w:t>
      </w:r>
      <w:r w:rsidRPr="004A5FDB">
        <w:rPr>
          <w:rFonts w:ascii="Times New Roman" w:eastAsia="Times New Roman" w:hAnsi="Times New Roman" w:cs="Times New Roman"/>
          <w:i/>
          <w:iCs/>
          <w:color w:val="828282"/>
          <w:sz w:val="28"/>
          <w:szCs w:val="28"/>
          <w:lang w:eastAsia="tr-TR"/>
        </w:rPr>
        <w:t>(i)</w:t>
      </w:r>
      <w:r w:rsidRPr="004A5FDB">
        <w:rPr>
          <w:rFonts w:ascii="Times New Roman" w:eastAsia="Times New Roman" w:hAnsi="Times New Roman" w:cs="Times New Roman"/>
          <w:color w:val="828282"/>
          <w:sz w:val="28"/>
          <w:szCs w:val="28"/>
          <w:lang w:eastAsia="tr-TR"/>
        </w:rPr>
        <w:t> mali hakların yönetim kurulu üyesinin harcayacağı emek ve mesai ile orantılı olması, </w:t>
      </w:r>
      <w:r w:rsidRPr="004A5FDB">
        <w:rPr>
          <w:rFonts w:ascii="Times New Roman" w:eastAsia="Times New Roman" w:hAnsi="Times New Roman" w:cs="Times New Roman"/>
          <w:i/>
          <w:iCs/>
          <w:color w:val="828282"/>
          <w:sz w:val="28"/>
          <w:szCs w:val="28"/>
          <w:lang w:eastAsia="tr-TR"/>
        </w:rPr>
        <w:t>(</w:t>
      </w:r>
      <w:proofErr w:type="spellStart"/>
      <w:r w:rsidRPr="004A5FDB">
        <w:rPr>
          <w:rFonts w:ascii="Times New Roman" w:eastAsia="Times New Roman" w:hAnsi="Times New Roman" w:cs="Times New Roman"/>
          <w:i/>
          <w:iCs/>
          <w:color w:val="828282"/>
          <w:sz w:val="28"/>
          <w:szCs w:val="28"/>
          <w:lang w:eastAsia="tr-TR"/>
        </w:rPr>
        <w:t>ii</w:t>
      </w:r>
      <w:proofErr w:type="spellEnd"/>
      <w:r w:rsidRPr="004A5FDB">
        <w:rPr>
          <w:rFonts w:ascii="Times New Roman" w:eastAsia="Times New Roman" w:hAnsi="Times New Roman" w:cs="Times New Roman"/>
          <w:i/>
          <w:iCs/>
          <w:color w:val="828282"/>
          <w:sz w:val="28"/>
          <w:szCs w:val="28"/>
          <w:lang w:eastAsia="tr-TR"/>
        </w:rPr>
        <w:t>) </w:t>
      </w:r>
      <w:r w:rsidRPr="004A5FDB">
        <w:rPr>
          <w:rFonts w:ascii="Times New Roman" w:eastAsia="Times New Roman" w:hAnsi="Times New Roman" w:cs="Times New Roman"/>
          <w:color w:val="828282"/>
          <w:sz w:val="28"/>
          <w:szCs w:val="28"/>
          <w:lang w:eastAsia="tr-TR"/>
        </w:rPr>
        <w:t>emsal şirketlerdeki ücretler ile paralel olması, </w:t>
      </w:r>
      <w:r w:rsidRPr="004A5FDB">
        <w:rPr>
          <w:rFonts w:ascii="Times New Roman" w:eastAsia="Times New Roman" w:hAnsi="Times New Roman" w:cs="Times New Roman"/>
          <w:i/>
          <w:iCs/>
          <w:color w:val="828282"/>
          <w:sz w:val="28"/>
          <w:szCs w:val="28"/>
          <w:lang w:eastAsia="tr-TR"/>
        </w:rPr>
        <w:t>(</w:t>
      </w:r>
      <w:proofErr w:type="spellStart"/>
      <w:r w:rsidRPr="004A5FDB">
        <w:rPr>
          <w:rFonts w:ascii="Times New Roman" w:eastAsia="Times New Roman" w:hAnsi="Times New Roman" w:cs="Times New Roman"/>
          <w:i/>
          <w:iCs/>
          <w:color w:val="828282"/>
          <w:sz w:val="28"/>
          <w:szCs w:val="28"/>
          <w:lang w:eastAsia="tr-TR"/>
        </w:rPr>
        <w:t>iii</w:t>
      </w:r>
      <w:proofErr w:type="spellEnd"/>
      <w:r w:rsidRPr="004A5FDB">
        <w:rPr>
          <w:rFonts w:ascii="Times New Roman" w:eastAsia="Times New Roman" w:hAnsi="Times New Roman" w:cs="Times New Roman"/>
          <w:i/>
          <w:iCs/>
          <w:color w:val="828282"/>
          <w:sz w:val="28"/>
          <w:szCs w:val="28"/>
          <w:lang w:eastAsia="tr-TR"/>
        </w:rPr>
        <w:t>)</w:t>
      </w:r>
      <w:r w:rsidRPr="004A5FDB">
        <w:rPr>
          <w:rFonts w:ascii="Times New Roman" w:eastAsia="Times New Roman" w:hAnsi="Times New Roman" w:cs="Times New Roman"/>
          <w:color w:val="828282"/>
          <w:sz w:val="28"/>
          <w:szCs w:val="28"/>
          <w:lang w:eastAsia="tr-TR"/>
        </w:rPr>
        <w:t> şirketin mali durumu ve geçmiş uygulamaları ile uyumlu olması ve </w:t>
      </w:r>
      <w:r w:rsidRPr="004A5FDB">
        <w:rPr>
          <w:rFonts w:ascii="Times New Roman" w:eastAsia="Times New Roman" w:hAnsi="Times New Roman" w:cs="Times New Roman"/>
          <w:i/>
          <w:iCs/>
          <w:color w:val="828282"/>
          <w:sz w:val="28"/>
          <w:szCs w:val="28"/>
          <w:lang w:eastAsia="tr-TR"/>
        </w:rPr>
        <w:t>(iv)</w:t>
      </w:r>
      <w:r w:rsidRPr="004A5FDB">
        <w:rPr>
          <w:rFonts w:ascii="Times New Roman" w:eastAsia="Times New Roman" w:hAnsi="Times New Roman" w:cs="Times New Roman"/>
          <w:color w:val="828282"/>
          <w:sz w:val="28"/>
          <w:szCs w:val="28"/>
          <w:lang w:eastAsia="tr-TR"/>
        </w:rPr>
        <w:t xml:space="preserve"> kar payı hakkını ihlal etmeyecek nitelikte olması, </w:t>
      </w:r>
      <w:proofErr w:type="gramStart"/>
      <w:r w:rsidRPr="004A5FDB">
        <w:rPr>
          <w:rFonts w:ascii="Times New Roman" w:eastAsia="Times New Roman" w:hAnsi="Times New Roman" w:cs="Times New Roman"/>
          <w:color w:val="828282"/>
          <w:sz w:val="28"/>
          <w:szCs w:val="28"/>
          <w:lang w:eastAsia="tr-TR"/>
        </w:rPr>
        <w:t>kriterlerini</w:t>
      </w:r>
      <w:proofErr w:type="gramEnd"/>
      <w:r w:rsidRPr="004A5FDB">
        <w:rPr>
          <w:rFonts w:ascii="Times New Roman" w:eastAsia="Times New Roman" w:hAnsi="Times New Roman" w:cs="Times New Roman"/>
          <w:color w:val="828282"/>
          <w:sz w:val="28"/>
          <w:szCs w:val="28"/>
          <w:lang w:eastAsia="tr-TR"/>
        </w:rPr>
        <w:t xml:space="preserve"> ortaya koyan Yargıtay içtihadına</w:t>
      </w:r>
      <w:hyperlink r:id="rId5" w:anchor="_edn12" w:tgtFrame="_blank" w:history="1">
        <w:r w:rsidRPr="004A5FDB">
          <w:rPr>
            <w:rFonts w:ascii="Times New Roman" w:eastAsia="Times New Roman" w:hAnsi="Times New Roman" w:cs="Times New Roman"/>
            <w:sz w:val="28"/>
            <w:szCs w:val="28"/>
            <w:u w:val="single"/>
            <w:vertAlign w:val="superscript"/>
            <w:lang w:eastAsia="tr-TR"/>
          </w:rPr>
          <w:t>[12]</w:t>
        </w:r>
      </w:hyperlink>
      <w:r w:rsidRPr="004A5FDB">
        <w:rPr>
          <w:rFonts w:ascii="Times New Roman" w:eastAsia="Times New Roman" w:hAnsi="Times New Roman" w:cs="Times New Roman"/>
          <w:color w:val="828282"/>
          <w:sz w:val="28"/>
          <w:szCs w:val="28"/>
          <w:lang w:eastAsia="tr-TR"/>
        </w:rPr>
        <w:t> atıf yapmıştır.</w:t>
      </w:r>
    </w:p>
    <w:p w:rsidR="004A5FDB" w:rsidRPr="004A5FDB" w:rsidRDefault="004A5FDB" w:rsidP="004A5FDB">
      <w:pPr>
        <w:pStyle w:val="AralkYok"/>
        <w:jc w:val="both"/>
        <w:rPr>
          <w:rFonts w:ascii="Times New Roman" w:eastAsia="Times New Roman" w:hAnsi="Times New Roman" w:cs="Times New Roman"/>
          <w:color w:val="828282"/>
          <w:sz w:val="28"/>
          <w:szCs w:val="28"/>
          <w:lang w:eastAsia="tr-TR"/>
        </w:rPr>
      </w:pPr>
      <w:r w:rsidRPr="004A5FDB">
        <w:rPr>
          <w:rFonts w:ascii="Times New Roman" w:eastAsia="Times New Roman" w:hAnsi="Times New Roman" w:cs="Times New Roman"/>
          <w:color w:val="828282"/>
          <w:sz w:val="28"/>
          <w:szCs w:val="28"/>
          <w:lang w:eastAsia="tr-TR"/>
        </w:rPr>
        <w:lastRenderedPageBreak/>
        <w:t xml:space="preserve">Karar’da öncelikle şirketin mali yapısı incelenmiştir. </w:t>
      </w:r>
      <w:proofErr w:type="gramStart"/>
      <w:r w:rsidRPr="004A5FDB">
        <w:rPr>
          <w:rFonts w:ascii="Times New Roman" w:eastAsia="Times New Roman" w:hAnsi="Times New Roman" w:cs="Times New Roman"/>
          <w:color w:val="828282"/>
          <w:sz w:val="28"/>
          <w:szCs w:val="28"/>
          <w:lang w:eastAsia="tr-TR"/>
        </w:rPr>
        <w:t>Şirketin, uyuşmazlığa konu genel kurul tarihine kadar neredeyse on beş yıldır faaliyet gösterdiği fakat bu süre içinde yalnızca iki yıldan kısa bir zaman diliminde huzur hakkının ödenmesinin kararlaştırıldığı, 2009-2015 yılları arasında ise huzur hakkı ödenmemesinin kararlaştırıldığına atıf yapılarak, huzur hakkı ödenmesine ilişkin verilen kararın şirketin geçmiş uygulamaları ile paralel olmadığı tespit edilmiştir.</w:t>
      </w:r>
      <w:proofErr w:type="gramEnd"/>
    </w:p>
    <w:p w:rsidR="004A5FDB" w:rsidRDefault="004A5FDB" w:rsidP="004A5FDB">
      <w:pPr>
        <w:pStyle w:val="AralkYok"/>
        <w:jc w:val="both"/>
        <w:rPr>
          <w:rFonts w:ascii="Times New Roman" w:eastAsia="Times New Roman" w:hAnsi="Times New Roman" w:cs="Times New Roman"/>
          <w:color w:val="828282"/>
          <w:sz w:val="28"/>
          <w:szCs w:val="28"/>
          <w:lang w:eastAsia="tr-TR"/>
        </w:rPr>
      </w:pPr>
    </w:p>
    <w:p w:rsidR="004A5FDB" w:rsidRPr="004A5FDB" w:rsidRDefault="004A5FDB" w:rsidP="004A5FDB">
      <w:pPr>
        <w:pStyle w:val="AralkYok"/>
        <w:jc w:val="both"/>
        <w:rPr>
          <w:rFonts w:ascii="Times New Roman" w:eastAsia="Times New Roman" w:hAnsi="Times New Roman" w:cs="Times New Roman"/>
          <w:color w:val="828282"/>
          <w:sz w:val="28"/>
          <w:szCs w:val="28"/>
          <w:lang w:eastAsia="tr-TR"/>
        </w:rPr>
      </w:pPr>
      <w:r w:rsidRPr="004A5FDB">
        <w:rPr>
          <w:rFonts w:ascii="Times New Roman" w:eastAsia="Times New Roman" w:hAnsi="Times New Roman" w:cs="Times New Roman"/>
          <w:color w:val="828282"/>
          <w:sz w:val="28"/>
          <w:szCs w:val="28"/>
          <w:lang w:eastAsia="tr-TR"/>
        </w:rPr>
        <w:t>İkinci bir tespit, şirketin ana faaliyeti bulunmadığı ve gelirlerinin faaliyet dışı gelirlerden oluştuğu, ilgili genel kurul kararından önceki faaliyet yılını zararla kapattığıdır. Bu tespitler ışığında Mahkeme, ilgili genel kurul kararının şirketin mali durumuna uygun olmadığı sonucuna varmıştır.</w:t>
      </w:r>
    </w:p>
    <w:p w:rsidR="004A5FDB" w:rsidRDefault="004A5FDB" w:rsidP="004A5FDB">
      <w:pPr>
        <w:pStyle w:val="AralkYok"/>
        <w:jc w:val="both"/>
        <w:rPr>
          <w:rFonts w:ascii="Times New Roman" w:eastAsia="Times New Roman" w:hAnsi="Times New Roman" w:cs="Times New Roman"/>
          <w:color w:val="828282"/>
          <w:sz w:val="28"/>
          <w:szCs w:val="28"/>
          <w:lang w:eastAsia="tr-TR"/>
        </w:rPr>
      </w:pPr>
    </w:p>
    <w:p w:rsidR="004A5FDB" w:rsidRPr="004A5FDB" w:rsidRDefault="004A5FDB" w:rsidP="004A5FDB">
      <w:pPr>
        <w:pStyle w:val="AralkYok"/>
        <w:jc w:val="both"/>
        <w:rPr>
          <w:rFonts w:ascii="Times New Roman" w:eastAsia="Times New Roman" w:hAnsi="Times New Roman" w:cs="Times New Roman"/>
          <w:color w:val="828282"/>
          <w:sz w:val="28"/>
          <w:szCs w:val="28"/>
          <w:lang w:eastAsia="tr-TR"/>
        </w:rPr>
      </w:pPr>
      <w:r w:rsidRPr="004A5FDB">
        <w:rPr>
          <w:rFonts w:ascii="Times New Roman" w:eastAsia="Times New Roman" w:hAnsi="Times New Roman" w:cs="Times New Roman"/>
          <w:color w:val="828282"/>
          <w:sz w:val="28"/>
          <w:szCs w:val="28"/>
          <w:lang w:eastAsia="tr-TR"/>
        </w:rPr>
        <w:t>Son olarak, belirlenen miktarın emsallerinden yüksek tespit edilmesi ve şirket yöneticilerinin olağanüstü bir çalışma yapmalarını gerektiren bir faaliyet bulunmaması gerekçeleriyle Mahkeme belirlenen miktarı dürüstlük kuralına aykırı, örtülü kazanç aktarımı niteliğinde olduğuna karar vermiştir.</w:t>
      </w:r>
    </w:p>
    <w:p w:rsidR="004A5FDB" w:rsidRDefault="004A5FDB" w:rsidP="004A5FDB">
      <w:pPr>
        <w:pStyle w:val="AralkYok"/>
        <w:jc w:val="both"/>
        <w:rPr>
          <w:rFonts w:ascii="Times New Roman" w:eastAsia="Times New Roman" w:hAnsi="Times New Roman" w:cs="Times New Roman"/>
          <w:sz w:val="28"/>
          <w:szCs w:val="28"/>
          <w:lang w:eastAsia="tr-TR"/>
        </w:rPr>
      </w:pPr>
    </w:p>
    <w:p w:rsidR="004A5FDB" w:rsidRPr="004A5FDB" w:rsidRDefault="004A5FDB" w:rsidP="004A5FDB">
      <w:pPr>
        <w:pStyle w:val="AralkYok"/>
        <w:jc w:val="both"/>
        <w:rPr>
          <w:rFonts w:ascii="Times New Roman" w:eastAsia="Times New Roman" w:hAnsi="Times New Roman" w:cs="Times New Roman"/>
          <w:sz w:val="28"/>
          <w:szCs w:val="28"/>
          <w:lang w:eastAsia="tr-TR"/>
        </w:rPr>
      </w:pPr>
      <w:r w:rsidRPr="004A5FDB">
        <w:rPr>
          <w:rFonts w:ascii="Times New Roman" w:eastAsia="Times New Roman" w:hAnsi="Times New Roman" w:cs="Times New Roman"/>
          <w:sz w:val="28"/>
          <w:szCs w:val="28"/>
          <w:lang w:eastAsia="tr-TR"/>
        </w:rPr>
        <w:t>SONUÇ</w:t>
      </w:r>
    </w:p>
    <w:p w:rsidR="004A5FDB" w:rsidRPr="004A5FDB" w:rsidRDefault="004A5FDB" w:rsidP="004A5FDB">
      <w:pPr>
        <w:pStyle w:val="AralkYok"/>
        <w:jc w:val="both"/>
        <w:rPr>
          <w:rFonts w:ascii="Times New Roman" w:eastAsia="Times New Roman" w:hAnsi="Times New Roman" w:cs="Times New Roman"/>
          <w:color w:val="828282"/>
          <w:sz w:val="28"/>
          <w:szCs w:val="28"/>
          <w:lang w:eastAsia="tr-TR"/>
        </w:rPr>
      </w:pPr>
      <w:r w:rsidRPr="004A5FDB">
        <w:rPr>
          <w:rFonts w:ascii="Times New Roman" w:eastAsia="Times New Roman" w:hAnsi="Times New Roman" w:cs="Times New Roman"/>
          <w:color w:val="828282"/>
          <w:sz w:val="28"/>
          <w:szCs w:val="28"/>
          <w:lang w:eastAsia="tr-TR"/>
        </w:rPr>
        <w:t xml:space="preserve">Anonim şirketlerde örtülü kazanç aktarımı, </w:t>
      </w:r>
      <w:proofErr w:type="spellStart"/>
      <w:r w:rsidRPr="004A5FDB">
        <w:rPr>
          <w:rFonts w:ascii="Times New Roman" w:eastAsia="Times New Roman" w:hAnsi="Times New Roman" w:cs="Times New Roman"/>
          <w:color w:val="828282"/>
          <w:sz w:val="28"/>
          <w:szCs w:val="28"/>
          <w:lang w:eastAsia="tr-TR"/>
        </w:rPr>
        <w:t>TTK’da</w:t>
      </w:r>
      <w:proofErr w:type="spellEnd"/>
      <w:r w:rsidRPr="004A5FDB">
        <w:rPr>
          <w:rFonts w:ascii="Times New Roman" w:eastAsia="Times New Roman" w:hAnsi="Times New Roman" w:cs="Times New Roman"/>
          <w:color w:val="828282"/>
          <w:sz w:val="28"/>
          <w:szCs w:val="28"/>
          <w:lang w:eastAsia="tr-TR"/>
        </w:rPr>
        <w:t xml:space="preserve"> açıkça düzenlenmiş bir konu olmamakla birlikte çoğunlukla sermayenin korunması ilkesine veya dürüstlük kuralı aykırılık iddiasıyla, uyuşmazlıklara konu olabilmektedir. Örtülü kazanç aktarımının bir görünümü olan, yönetim kurulu üyelerinin mali hakları yoluyla ortaklık malvarlığının ilişkili kişilere aktarım teşkil edip etmediğine ilişkin değerlendirmede sermayenin korunması ilkesinin ve eşit işlem ilkesinin ışık tutabileceği değerlendirilir. Yargıtay içtihadında, belirlenen mali haklara ilişkin </w:t>
      </w:r>
      <w:proofErr w:type="gramStart"/>
      <w:r w:rsidRPr="004A5FDB">
        <w:rPr>
          <w:rFonts w:ascii="Times New Roman" w:eastAsia="Times New Roman" w:hAnsi="Times New Roman" w:cs="Times New Roman"/>
          <w:color w:val="828282"/>
          <w:sz w:val="28"/>
          <w:szCs w:val="28"/>
          <w:lang w:eastAsia="tr-TR"/>
        </w:rPr>
        <w:t>kriterler</w:t>
      </w:r>
      <w:proofErr w:type="gramEnd"/>
      <w:r w:rsidRPr="004A5FDB">
        <w:rPr>
          <w:rFonts w:ascii="Times New Roman" w:eastAsia="Times New Roman" w:hAnsi="Times New Roman" w:cs="Times New Roman"/>
          <w:color w:val="828282"/>
          <w:sz w:val="28"/>
          <w:szCs w:val="28"/>
          <w:lang w:eastAsia="tr-TR"/>
        </w:rPr>
        <w:t xml:space="preserve"> temelde, harcanacak emek ve mesaiyle orantılılık ile emsallere, şirketin mali yapısı ve geçmiş uygulamalarına uygunluk olarak öne çıkar.</w:t>
      </w:r>
    </w:p>
    <w:p w:rsidR="000131F9" w:rsidRPr="004A5FDB" w:rsidRDefault="00A70718" w:rsidP="004A5FDB">
      <w:pPr>
        <w:pStyle w:val="AralkYok"/>
        <w:jc w:val="both"/>
        <w:rPr>
          <w:rFonts w:ascii="Times New Roman" w:hAnsi="Times New Roman" w:cs="Times New Roman"/>
          <w:sz w:val="28"/>
          <w:szCs w:val="28"/>
        </w:rPr>
      </w:pPr>
    </w:p>
    <w:p w:rsidR="004A5FDB" w:rsidRPr="004A5FDB" w:rsidRDefault="004A5FDB">
      <w:pPr>
        <w:pStyle w:val="AralkYok"/>
        <w:jc w:val="both"/>
        <w:rPr>
          <w:rFonts w:ascii="Times New Roman" w:hAnsi="Times New Roman" w:cs="Times New Roman"/>
          <w:sz w:val="28"/>
          <w:szCs w:val="28"/>
        </w:rPr>
      </w:pPr>
    </w:p>
    <w:sectPr w:rsidR="004A5FDB" w:rsidRPr="004A5FDB" w:rsidSect="00D20E6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A5FDB"/>
    <w:rsid w:val="004A5FDB"/>
    <w:rsid w:val="00A70718"/>
    <w:rsid w:val="00D17047"/>
    <w:rsid w:val="00D20E68"/>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E68"/>
  </w:style>
  <w:style w:type="paragraph" w:styleId="Balk1">
    <w:name w:val="heading 1"/>
    <w:basedOn w:val="Normal"/>
    <w:next w:val="Normal"/>
    <w:link w:val="Balk1Char"/>
    <w:uiPriority w:val="9"/>
    <w:qFormat/>
    <w:rsid w:val="004A5F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link w:val="Balk3Char"/>
    <w:uiPriority w:val="9"/>
    <w:qFormat/>
    <w:rsid w:val="004A5FD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4A5FDB"/>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4A5FD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A5FDB"/>
    <w:rPr>
      <w:color w:val="0000FF"/>
      <w:u w:val="single"/>
    </w:rPr>
  </w:style>
  <w:style w:type="paragraph" w:customStyle="1" w:styleId="ql-indent-1">
    <w:name w:val="ql-indent-1"/>
    <w:basedOn w:val="Normal"/>
    <w:rsid w:val="004A5FD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A5FDB"/>
    <w:rPr>
      <w:i/>
      <w:iCs/>
    </w:rPr>
  </w:style>
  <w:style w:type="character" w:customStyle="1" w:styleId="Balk1Char">
    <w:name w:val="Başlık 1 Char"/>
    <w:basedOn w:val="VarsaylanParagrafYazTipi"/>
    <w:link w:val="Balk1"/>
    <w:uiPriority w:val="9"/>
    <w:rsid w:val="004A5FDB"/>
    <w:rPr>
      <w:rFonts w:asciiTheme="majorHAnsi" w:eastAsiaTheme="majorEastAsia" w:hAnsiTheme="majorHAnsi" w:cstheme="majorBidi"/>
      <w:b/>
      <w:bCs/>
      <w:color w:val="365F91" w:themeColor="accent1" w:themeShade="BF"/>
      <w:sz w:val="28"/>
      <w:szCs w:val="28"/>
    </w:rPr>
  </w:style>
  <w:style w:type="paragraph" w:styleId="AralkYok">
    <w:name w:val="No Spacing"/>
    <w:uiPriority w:val="1"/>
    <w:qFormat/>
    <w:rsid w:val="004A5FDB"/>
    <w:pPr>
      <w:spacing w:after="0" w:line="240" w:lineRule="auto"/>
    </w:pPr>
  </w:style>
</w:styles>
</file>

<file path=word/webSettings.xml><?xml version="1.0" encoding="utf-8"?>
<w:webSettings xmlns:r="http://schemas.openxmlformats.org/officeDocument/2006/relationships" xmlns:w="http://schemas.openxmlformats.org/wordprocessingml/2006/main">
  <w:divs>
    <w:div w:id="1203252013">
      <w:bodyDiv w:val="1"/>
      <w:marLeft w:val="0"/>
      <w:marRight w:val="0"/>
      <w:marTop w:val="0"/>
      <w:marBottom w:val="0"/>
      <w:divBdr>
        <w:top w:val="none" w:sz="0" w:space="0" w:color="auto"/>
        <w:left w:val="none" w:sz="0" w:space="0" w:color="auto"/>
        <w:bottom w:val="none" w:sz="0" w:space="0" w:color="auto"/>
        <w:right w:val="none" w:sz="0" w:space="0" w:color="auto"/>
      </w:divBdr>
    </w:div>
    <w:div w:id="148308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rdem-erdem.av.tr/bilgi-bankasi/genel-kurul-kararlarinin-iptal-nedeni-olarak-ortulu-kazanc-aktarimi" TargetMode="External"/><Relationship Id="rId4" Type="http://schemas.openxmlformats.org/officeDocument/2006/relationships/hyperlink" Target="https://www.erdem-erdem.av.tr/bilgi-bankasi/genel-kurul-kararlarinin-iptal-nedeni-olarak-ortulu-kazanc-aktarim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1476</Words>
  <Characters>8417</Characters>
  <Application>Microsoft Office Word</Application>
  <DocSecurity>0</DocSecurity>
  <Lines>70</Lines>
  <Paragraphs>19</Paragraphs>
  <ScaleCrop>false</ScaleCrop>
  <Company/>
  <LinksUpToDate>false</LinksUpToDate>
  <CharactersWithSpaces>9874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2024-06-04T11:01:00Z</dcterms:created>
  <dcterms:modified xsi:type="dcterms:W3CDTF">2024-06-04T11:06:00Z</dcterms:modified>
</cp:coreProperties>
</file>